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65C" w:rsidRPr="00814C47" w:rsidRDefault="00D6365C" w:rsidP="0091103D">
      <w:pPr>
        <w:pStyle w:val="Encabezado"/>
        <w:tabs>
          <w:tab w:val="clear" w:pos="4419"/>
          <w:tab w:val="clear" w:pos="8838"/>
        </w:tabs>
        <w:ind w:firstLine="708"/>
        <w:jc w:val="center"/>
        <w:rPr>
          <w:rFonts w:ascii="Arial Narrow" w:eastAsia="Arial Unicode MS" w:hAnsi="Arial Narrow" w:cs="Arial Unicode MS"/>
          <w:b/>
          <w:color w:val="1F497D" w:themeColor="text2"/>
        </w:rPr>
      </w:pPr>
      <w:r w:rsidRPr="00814C47">
        <w:rPr>
          <w:rFonts w:ascii="Arial Narrow" w:hAnsi="Arial Narrow"/>
          <w:noProof/>
          <w:color w:val="000000" w:themeColor="text1"/>
          <w:lang w:eastAsia="es-MX"/>
        </w:rPr>
        <w:drawing>
          <wp:anchor distT="0" distB="0" distL="114300" distR="114300" simplePos="0" relativeHeight="251659264" behindDoc="1" locked="0" layoutInCell="1" allowOverlap="1" wp14:anchorId="1DA4671D" wp14:editId="47149668">
            <wp:simplePos x="0" y="0"/>
            <wp:positionH relativeFrom="column">
              <wp:posOffset>-14605</wp:posOffset>
            </wp:positionH>
            <wp:positionV relativeFrom="paragraph">
              <wp:posOffset>-41910</wp:posOffset>
            </wp:positionV>
            <wp:extent cx="1181819" cy="609123"/>
            <wp:effectExtent l="0" t="0" r="0" b="635"/>
            <wp:wrapNone/>
            <wp:docPr id="1" name="Imagen 1" descr="C:\Users\cbernal\Desktop\Quehacer diario\Herramientas generación de productos\Logo C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bernal\Desktop\Quehacer diario\Herramientas generación de productos\Logo C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819" cy="609123"/>
                    </a:xfrm>
                    <a:prstGeom prst="rect">
                      <a:avLst/>
                    </a:prstGeom>
                    <a:noFill/>
                    <a:ln>
                      <a:noFill/>
                    </a:ln>
                  </pic:spPr>
                </pic:pic>
              </a:graphicData>
            </a:graphic>
            <wp14:sizeRelH relativeFrom="page">
              <wp14:pctWidth>0</wp14:pctWidth>
            </wp14:sizeRelH>
            <wp14:sizeRelV relativeFrom="page">
              <wp14:pctHeight>0</wp14:pctHeight>
            </wp14:sizeRelV>
          </wp:anchor>
        </w:drawing>
      </w:r>
      <w:r w:rsidR="0091103D">
        <w:rPr>
          <w:rFonts w:ascii="Arial Narrow" w:eastAsia="Arial Unicode MS" w:hAnsi="Arial Narrow" w:cs="Arial Unicode MS"/>
          <w:b/>
          <w:color w:val="1F497D" w:themeColor="text2"/>
        </w:rPr>
        <w:t xml:space="preserve">                                                                                                    </w:t>
      </w:r>
      <w:r w:rsidRPr="00814C47">
        <w:rPr>
          <w:rFonts w:ascii="Arial Narrow" w:eastAsia="Arial Unicode MS" w:hAnsi="Arial Narrow" w:cs="Arial Unicode MS"/>
          <w:b/>
          <w:color w:val="1F497D" w:themeColor="text2"/>
        </w:rPr>
        <w:t>UNIDAD DE ANÁLISIS ECONÓMICO</w:t>
      </w:r>
    </w:p>
    <w:p w:rsidR="00061331" w:rsidRPr="00814C47" w:rsidRDefault="00061331" w:rsidP="00814C47">
      <w:pPr>
        <w:spacing w:line="240" w:lineRule="auto"/>
        <w:jc w:val="both"/>
        <w:rPr>
          <w:rFonts w:ascii="Arial Narrow" w:hAnsi="Arial Narrow"/>
        </w:rPr>
      </w:pPr>
    </w:p>
    <w:p w:rsidR="00D6365C" w:rsidRDefault="00D6365C" w:rsidP="00814C47">
      <w:pPr>
        <w:tabs>
          <w:tab w:val="left" w:pos="3580"/>
        </w:tabs>
        <w:spacing w:after="120" w:line="240" w:lineRule="auto"/>
        <w:jc w:val="both"/>
        <w:rPr>
          <w:rFonts w:ascii="Arial Narrow" w:hAnsi="Arial Narrow"/>
        </w:rPr>
      </w:pPr>
      <w:bookmarkStart w:id="0" w:name="_Ref435021955"/>
    </w:p>
    <w:p w:rsidR="002D5035" w:rsidRPr="00814C47" w:rsidRDefault="002D5035" w:rsidP="00814C47">
      <w:pPr>
        <w:tabs>
          <w:tab w:val="left" w:pos="3580"/>
        </w:tabs>
        <w:spacing w:after="120" w:line="240" w:lineRule="auto"/>
        <w:jc w:val="both"/>
        <w:rPr>
          <w:rFonts w:ascii="Arial Narrow" w:hAnsi="Arial Narrow" w:cs="Arial"/>
          <w:b/>
        </w:rPr>
      </w:pPr>
    </w:p>
    <w:bookmarkEnd w:id="0"/>
    <w:p w:rsidR="00D6365C" w:rsidRPr="00814C47" w:rsidRDefault="00D6365C" w:rsidP="0091103D">
      <w:pPr>
        <w:spacing w:after="200" w:line="240" w:lineRule="auto"/>
        <w:jc w:val="center"/>
        <w:rPr>
          <w:rFonts w:ascii="Arial Narrow" w:hAnsi="Arial Narrow"/>
          <w:b/>
        </w:rPr>
      </w:pPr>
      <w:r w:rsidRPr="00814C47">
        <w:rPr>
          <w:rFonts w:ascii="Arial Narrow" w:hAnsi="Arial Narrow"/>
          <w:b/>
        </w:rPr>
        <w:t>Memoria de cálculo usad</w:t>
      </w:r>
      <w:r w:rsidR="004E7F12" w:rsidRPr="00814C47">
        <w:rPr>
          <w:rFonts w:ascii="Arial Narrow" w:hAnsi="Arial Narrow"/>
          <w:b/>
        </w:rPr>
        <w:t>a para determinar la tarifa que aplicará la Comisión Federal de Electricidad por el servicio público de Distribución de energía eléctrica durante el periodo tarifario inicial que comprende del 1 de Enero de 2016 y h</w:t>
      </w:r>
      <w:r w:rsidR="008F66CD">
        <w:rPr>
          <w:rFonts w:ascii="Arial Narrow" w:hAnsi="Arial Narrow"/>
          <w:b/>
        </w:rPr>
        <w:t>asta el 31 de diciembre de 2018.</w:t>
      </w:r>
    </w:p>
    <w:p w:rsidR="00D6365C" w:rsidRPr="00814C47" w:rsidRDefault="00D6365C" w:rsidP="00814C47">
      <w:pPr>
        <w:spacing w:after="200" w:line="240" w:lineRule="auto"/>
        <w:jc w:val="both"/>
        <w:rPr>
          <w:rFonts w:ascii="Arial Narrow" w:eastAsia="Arial Unicode MS" w:hAnsi="Arial Narrow" w:cs="Arial"/>
        </w:rPr>
      </w:pPr>
      <w:r w:rsidRPr="00814C47">
        <w:rPr>
          <w:rFonts w:ascii="Arial Narrow" w:eastAsia="Arial Unicode MS" w:hAnsi="Arial Narrow" w:cs="Arial"/>
          <w:b/>
        </w:rPr>
        <w:t>Fecha:</w:t>
      </w:r>
      <w:r w:rsidR="005A3765">
        <w:rPr>
          <w:rFonts w:ascii="Arial Narrow" w:eastAsia="Arial Unicode MS" w:hAnsi="Arial Narrow" w:cs="Arial"/>
        </w:rPr>
        <w:t xml:space="preserve"> </w:t>
      </w:r>
      <w:r w:rsidR="003B5035">
        <w:rPr>
          <w:rFonts w:ascii="Arial Narrow" w:eastAsia="Arial Unicode MS" w:hAnsi="Arial Narrow" w:cs="Arial"/>
        </w:rPr>
        <w:t>feb</w:t>
      </w:r>
      <w:bookmarkStart w:id="1" w:name="_GoBack"/>
      <w:bookmarkEnd w:id="1"/>
      <w:r w:rsidR="003B5035">
        <w:rPr>
          <w:rFonts w:ascii="Arial Narrow" w:eastAsia="Arial Unicode MS" w:hAnsi="Arial Narrow" w:cs="Arial"/>
        </w:rPr>
        <w:t>rer</w:t>
      </w:r>
      <w:r w:rsidR="003B5035">
        <w:rPr>
          <w:rFonts w:ascii="Arial Narrow" w:eastAsia="Arial Unicode MS" w:hAnsi="Arial Narrow" w:cs="Arial"/>
        </w:rPr>
        <w:t xml:space="preserve">o </w:t>
      </w:r>
      <w:r w:rsidR="005A3765">
        <w:rPr>
          <w:rFonts w:ascii="Arial Narrow" w:eastAsia="Arial Unicode MS" w:hAnsi="Arial Narrow" w:cs="Arial"/>
        </w:rPr>
        <w:t>de 2016</w:t>
      </w:r>
      <w:r w:rsidRPr="00814C47">
        <w:rPr>
          <w:rFonts w:ascii="Arial Narrow" w:eastAsia="Arial Unicode MS" w:hAnsi="Arial Narrow" w:cs="Arial"/>
        </w:rPr>
        <w:t>.</w:t>
      </w:r>
    </w:p>
    <w:p w:rsidR="00D6365C" w:rsidRPr="00814C47" w:rsidRDefault="00D6365C" w:rsidP="00814C47">
      <w:pPr>
        <w:spacing w:before="120" w:after="120" w:line="240" w:lineRule="auto"/>
        <w:jc w:val="both"/>
        <w:rPr>
          <w:rFonts w:ascii="Arial Narrow" w:hAnsi="Arial Narrow" w:cs="Arial"/>
          <w:b/>
        </w:rPr>
      </w:pPr>
      <w:r w:rsidRPr="00814C47">
        <w:rPr>
          <w:rFonts w:ascii="Arial Narrow" w:hAnsi="Arial Narrow" w:cs="Arial"/>
          <w:b/>
        </w:rPr>
        <w:t>Resumen</w:t>
      </w:r>
    </w:p>
    <w:p w:rsidR="0080038A" w:rsidRPr="00365296" w:rsidRDefault="00973C97" w:rsidP="00365296">
      <w:pPr>
        <w:autoSpaceDE w:val="0"/>
        <w:autoSpaceDN w:val="0"/>
        <w:adjustRightInd w:val="0"/>
        <w:spacing w:after="0" w:line="240" w:lineRule="auto"/>
        <w:ind w:left="708" w:right="851"/>
        <w:jc w:val="both"/>
        <w:rPr>
          <w:rFonts w:ascii="Arial Narrow" w:hAnsi="Arial Narrow" w:cs="Arial"/>
        </w:rPr>
      </w:pPr>
      <w:r w:rsidRPr="00814C47">
        <w:rPr>
          <w:rFonts w:ascii="Arial Narrow" w:hAnsi="Arial Narrow"/>
        </w:rPr>
        <w:t>Con el objeto de dar cumplimiento a lo dispuesto por los artículos 139 de la Ley de la Industria Eléctrica, esta Comi</w:t>
      </w:r>
      <w:r w:rsidR="005A3765">
        <w:rPr>
          <w:rFonts w:ascii="Arial Narrow" w:hAnsi="Arial Narrow"/>
        </w:rPr>
        <w:t xml:space="preserve">sión Reguladora de Energía (la </w:t>
      </w:r>
      <w:r w:rsidRPr="00814C47">
        <w:rPr>
          <w:rFonts w:ascii="Arial Narrow" w:hAnsi="Arial Narrow"/>
        </w:rPr>
        <w:t>Comisión) presenta la memoria de cálculo uti</w:t>
      </w:r>
      <w:r w:rsidR="005175DA" w:rsidRPr="00814C47">
        <w:rPr>
          <w:rFonts w:ascii="Arial Narrow" w:hAnsi="Arial Narrow"/>
        </w:rPr>
        <w:t xml:space="preserve">lizada para determinar el cuadro tarifario y método de actualización de tarifas </w:t>
      </w:r>
      <w:r w:rsidRPr="00814C47">
        <w:rPr>
          <w:rFonts w:ascii="Arial Narrow" w:hAnsi="Arial Narrow"/>
        </w:rPr>
        <w:t>que aplicará la Comisión Federal de Electricidad (la CFE) por el servicio público de Distribución de energía eléctrica durante el periodo tarifario inicial que comprende del 1 de enero de 2016 h</w:t>
      </w:r>
      <w:r w:rsidR="0080038A" w:rsidRPr="00814C47">
        <w:rPr>
          <w:rFonts w:ascii="Arial Narrow" w:hAnsi="Arial Narrow"/>
        </w:rPr>
        <w:t>asta el 31 de diciembre de 2018</w:t>
      </w:r>
      <w:r w:rsidR="00B40C07">
        <w:rPr>
          <w:rFonts w:ascii="Arial Narrow" w:hAnsi="Arial Narrow"/>
        </w:rPr>
        <w:t>. Para obtener el Ingreso R</w:t>
      </w:r>
      <w:r w:rsidR="00C67D84">
        <w:rPr>
          <w:rFonts w:ascii="Arial Narrow" w:hAnsi="Arial Narrow"/>
        </w:rPr>
        <w:t>equerido</w:t>
      </w:r>
      <w:r w:rsidR="00C71743">
        <w:rPr>
          <w:rFonts w:ascii="Arial Narrow" w:hAnsi="Arial Narrow"/>
        </w:rPr>
        <w:t xml:space="preserve"> (IR)</w:t>
      </w:r>
      <w:r w:rsidR="00B40C07">
        <w:rPr>
          <w:rFonts w:ascii="Arial Narrow" w:hAnsi="Arial Narrow"/>
        </w:rPr>
        <w:t xml:space="preserve"> </w:t>
      </w:r>
      <w:r w:rsidRPr="00814C47">
        <w:rPr>
          <w:rFonts w:ascii="Arial Narrow" w:hAnsi="Arial Narrow"/>
        </w:rPr>
        <w:t xml:space="preserve">total, </w:t>
      </w:r>
      <w:r w:rsidR="005A3765">
        <w:rPr>
          <w:rFonts w:ascii="Arial Narrow" w:hAnsi="Arial Narrow"/>
        </w:rPr>
        <w:t>los costos se clasifican en dos grupos</w:t>
      </w:r>
      <w:r w:rsidR="00566282" w:rsidRPr="00814C47">
        <w:rPr>
          <w:rFonts w:ascii="Arial Narrow" w:hAnsi="Arial Narrow"/>
        </w:rPr>
        <w:t>: (1)</w:t>
      </w:r>
      <w:r w:rsidRPr="00814C47">
        <w:rPr>
          <w:rFonts w:ascii="Arial Narrow" w:hAnsi="Arial Narrow"/>
        </w:rPr>
        <w:t xml:space="preserve"> los costos</w:t>
      </w:r>
      <w:r w:rsidR="0080038A" w:rsidRPr="00814C47">
        <w:rPr>
          <w:rFonts w:ascii="Arial Narrow" w:hAnsi="Arial Narrow"/>
        </w:rPr>
        <w:t xml:space="preserve"> de explotación</w:t>
      </w:r>
      <w:r w:rsidR="0091751A" w:rsidRPr="00814C47">
        <w:rPr>
          <w:rFonts w:ascii="Arial Narrow" w:hAnsi="Arial Narrow"/>
        </w:rPr>
        <w:t xml:space="preserve"> </w:t>
      </w:r>
      <w:r w:rsidRPr="00814C47">
        <w:rPr>
          <w:rFonts w:ascii="Arial Narrow" w:hAnsi="Arial Narrow"/>
        </w:rPr>
        <w:t>incurridos por la CFE en 2014 proyectado</w:t>
      </w:r>
      <w:r w:rsidR="0091751A" w:rsidRPr="00814C47">
        <w:rPr>
          <w:rFonts w:ascii="Arial Narrow" w:hAnsi="Arial Narrow"/>
        </w:rPr>
        <w:t>s a 2016</w:t>
      </w:r>
      <w:r w:rsidR="005A3765">
        <w:rPr>
          <w:rFonts w:ascii="Arial Narrow" w:hAnsi="Arial Narrow"/>
        </w:rPr>
        <w:t xml:space="preserve"> y asignados a</w:t>
      </w:r>
      <w:r w:rsidR="00566282" w:rsidRPr="00814C47">
        <w:rPr>
          <w:rFonts w:ascii="Arial Narrow" w:hAnsi="Arial Narrow"/>
        </w:rPr>
        <w:t xml:space="preserve"> l</w:t>
      </w:r>
      <w:r w:rsidR="00C71743">
        <w:rPr>
          <w:rFonts w:ascii="Arial Narrow" w:hAnsi="Arial Narrow"/>
        </w:rPr>
        <w:t>as 16 divisiones de D</w:t>
      </w:r>
      <w:r w:rsidR="00365296">
        <w:rPr>
          <w:rFonts w:ascii="Arial Narrow" w:hAnsi="Arial Narrow"/>
        </w:rPr>
        <w:t>istr</w:t>
      </w:r>
      <w:r w:rsidR="002D5035">
        <w:rPr>
          <w:rFonts w:ascii="Arial Narrow" w:hAnsi="Arial Narrow"/>
        </w:rPr>
        <w:t>i</w:t>
      </w:r>
      <w:r w:rsidR="00365296">
        <w:rPr>
          <w:rFonts w:ascii="Arial Narrow" w:hAnsi="Arial Narrow"/>
        </w:rPr>
        <w:t>bución</w:t>
      </w:r>
      <w:r w:rsidR="0091751A" w:rsidRPr="00814C47">
        <w:rPr>
          <w:rFonts w:ascii="Arial Narrow" w:hAnsi="Arial Narrow"/>
        </w:rPr>
        <w:t xml:space="preserve">, </w:t>
      </w:r>
      <w:r w:rsidR="00566282" w:rsidRPr="00814C47">
        <w:rPr>
          <w:rFonts w:ascii="Arial Narrow" w:hAnsi="Arial Narrow"/>
        </w:rPr>
        <w:t xml:space="preserve">(2) </w:t>
      </w:r>
      <w:r w:rsidR="0091751A" w:rsidRPr="00814C47">
        <w:rPr>
          <w:rFonts w:ascii="Arial Narrow" w:hAnsi="Arial Narrow"/>
        </w:rPr>
        <w:t>los costos de capital atribuible</w:t>
      </w:r>
      <w:r w:rsidR="005A3765">
        <w:rPr>
          <w:rFonts w:ascii="Arial Narrow" w:hAnsi="Arial Narrow"/>
        </w:rPr>
        <w:t>s</w:t>
      </w:r>
      <w:r w:rsidR="00C71743">
        <w:rPr>
          <w:rFonts w:ascii="Arial Narrow" w:hAnsi="Arial Narrow"/>
        </w:rPr>
        <w:t xml:space="preserve"> al servicio de D</w:t>
      </w:r>
      <w:r w:rsidR="0091751A" w:rsidRPr="00814C47">
        <w:rPr>
          <w:rFonts w:ascii="Arial Narrow" w:hAnsi="Arial Narrow"/>
        </w:rPr>
        <w:t>istribución</w:t>
      </w:r>
      <w:r w:rsidR="00265F8C">
        <w:rPr>
          <w:rFonts w:ascii="Arial Narrow" w:hAnsi="Arial Narrow"/>
        </w:rPr>
        <w:t xml:space="preserve"> en cada una de las divisiones</w:t>
      </w:r>
      <w:r w:rsidR="00626047" w:rsidRPr="00814C47">
        <w:rPr>
          <w:rFonts w:ascii="Arial Narrow" w:hAnsi="Arial Narrow"/>
        </w:rPr>
        <w:t>.</w:t>
      </w:r>
      <w:r w:rsidR="005175DA" w:rsidRPr="00814C47">
        <w:rPr>
          <w:rFonts w:ascii="Arial Narrow" w:hAnsi="Arial Narrow"/>
        </w:rPr>
        <w:t xml:space="preserve"> </w:t>
      </w:r>
      <w:r w:rsidR="00626047" w:rsidRPr="00814C47">
        <w:rPr>
          <w:rFonts w:ascii="Arial Narrow" w:hAnsi="Arial Narrow"/>
        </w:rPr>
        <w:t>El diseño tarifario</w:t>
      </w:r>
      <w:r w:rsidR="005175DA" w:rsidRPr="00814C47">
        <w:rPr>
          <w:rFonts w:ascii="Arial Narrow" w:hAnsi="Arial Narrow"/>
        </w:rPr>
        <w:t xml:space="preserve"> para 2016,</w:t>
      </w:r>
      <w:r w:rsidR="00C61FCF" w:rsidRPr="00814C47">
        <w:rPr>
          <w:rFonts w:ascii="Arial Narrow" w:hAnsi="Arial Narrow"/>
        </w:rPr>
        <w:t xml:space="preserve"> se </w:t>
      </w:r>
      <w:r w:rsidR="00626047" w:rsidRPr="00814C47">
        <w:rPr>
          <w:rFonts w:ascii="Arial Narrow" w:hAnsi="Arial Narrow"/>
        </w:rPr>
        <w:t xml:space="preserve">realizó </w:t>
      </w:r>
      <w:r w:rsidR="005A3765">
        <w:rPr>
          <w:rFonts w:ascii="Arial Narrow" w:hAnsi="Arial Narrow"/>
        </w:rPr>
        <w:t>considerando cinco grupos tarifarios definidos en función del consumo del usuario y</w:t>
      </w:r>
      <w:r w:rsidR="00B40C07">
        <w:rPr>
          <w:rFonts w:ascii="Arial Narrow" w:hAnsi="Arial Narrow"/>
        </w:rPr>
        <w:t xml:space="preserve"> el nivel de tensión</w:t>
      </w:r>
      <w:r w:rsidR="00C71743">
        <w:rPr>
          <w:rFonts w:ascii="Arial Narrow" w:hAnsi="Arial Narrow"/>
        </w:rPr>
        <w:t>, donde la retribución</w:t>
      </w:r>
      <w:r w:rsidR="00265F8C" w:rsidRPr="00265F8C">
        <w:rPr>
          <w:rFonts w:ascii="Arial Narrow" w:hAnsi="Arial Narrow"/>
        </w:rPr>
        <w:t xml:space="preserve"> </w:t>
      </w:r>
      <w:r w:rsidR="00265F8C">
        <w:rPr>
          <w:rFonts w:ascii="Arial Narrow" w:hAnsi="Arial Narrow"/>
        </w:rPr>
        <w:t xml:space="preserve">del </w:t>
      </w:r>
      <w:r w:rsidR="00265F8C" w:rsidRPr="00265F8C">
        <w:rPr>
          <w:rFonts w:ascii="Arial Narrow" w:hAnsi="Arial Narrow"/>
        </w:rPr>
        <w:t xml:space="preserve">IR </w:t>
      </w:r>
      <w:r w:rsidR="00265F8C">
        <w:rPr>
          <w:rFonts w:ascii="Arial Narrow" w:hAnsi="Arial Narrow"/>
        </w:rPr>
        <w:t>se efectuó con</w:t>
      </w:r>
      <w:r w:rsidR="00265F8C" w:rsidRPr="00265F8C">
        <w:rPr>
          <w:rFonts w:ascii="Arial Narrow" w:hAnsi="Arial Narrow"/>
        </w:rPr>
        <w:t xml:space="preserve"> la metodología de asignación por picos no coincidentes</w:t>
      </w:r>
      <w:r w:rsidR="00B40C07">
        <w:rPr>
          <w:rFonts w:ascii="Arial Narrow" w:hAnsi="Arial Narrow"/>
        </w:rPr>
        <w:t xml:space="preserve">. Las tarifas publicadas en el </w:t>
      </w:r>
      <w:r w:rsidR="006B6601">
        <w:rPr>
          <w:rFonts w:ascii="Arial Narrow" w:hAnsi="Arial Narrow"/>
        </w:rPr>
        <w:t>Acuerdo A/074</w:t>
      </w:r>
      <w:r w:rsidR="00B40C07">
        <w:rPr>
          <w:rFonts w:ascii="Arial Narrow" w:hAnsi="Arial Narrow"/>
        </w:rPr>
        <w:t xml:space="preserve">/2015 permiten recuperar </w:t>
      </w:r>
      <w:r w:rsidR="005A3765">
        <w:rPr>
          <w:rFonts w:ascii="Arial Narrow" w:hAnsi="Arial Narrow"/>
        </w:rPr>
        <w:t xml:space="preserve">el </w:t>
      </w:r>
      <w:r w:rsidR="00626047" w:rsidRPr="00814C47">
        <w:rPr>
          <w:rFonts w:ascii="Arial Narrow" w:hAnsi="Arial Narrow"/>
        </w:rPr>
        <w:t>Ingreso R</w:t>
      </w:r>
      <w:r w:rsidR="005175DA" w:rsidRPr="00814C47">
        <w:rPr>
          <w:rFonts w:ascii="Arial Narrow" w:hAnsi="Arial Narrow"/>
        </w:rPr>
        <w:t>equerido sin co</w:t>
      </w:r>
      <w:r w:rsidR="00566282" w:rsidRPr="00814C47">
        <w:rPr>
          <w:rFonts w:ascii="Arial Narrow" w:hAnsi="Arial Narrow"/>
        </w:rPr>
        <w:t>n</w:t>
      </w:r>
      <w:r w:rsidR="005175DA" w:rsidRPr="00814C47">
        <w:rPr>
          <w:rFonts w:ascii="Arial Narrow" w:hAnsi="Arial Narrow"/>
        </w:rPr>
        <w:t xml:space="preserve">siderar pérdidas de energía. Adicionalmente, se </w:t>
      </w:r>
      <w:r w:rsidR="005A3765">
        <w:rPr>
          <w:rFonts w:ascii="Arial Narrow" w:hAnsi="Arial Narrow"/>
        </w:rPr>
        <w:t xml:space="preserve">calculan factores de pérdidas </w:t>
      </w:r>
      <w:r w:rsidR="00B40C07">
        <w:rPr>
          <w:rFonts w:ascii="Arial Narrow" w:hAnsi="Arial Narrow"/>
        </w:rPr>
        <w:t>mediante los cuales el distribuidor obtendrá el ingreso por el porcentaje de pérdidas reconocidas</w:t>
      </w:r>
      <w:r w:rsidR="00566282" w:rsidRPr="00814C47">
        <w:rPr>
          <w:rFonts w:ascii="Arial Narrow" w:hAnsi="Arial Narrow"/>
        </w:rPr>
        <w:t xml:space="preserve">. Finalmente, a partir de 2017 se considera </w:t>
      </w:r>
      <w:r w:rsidR="00C61FCF" w:rsidRPr="00814C47">
        <w:rPr>
          <w:rFonts w:ascii="Arial Narrow" w:hAnsi="Arial Narrow"/>
        </w:rPr>
        <w:t>un sendero de eficiencia en costos de expl</w:t>
      </w:r>
      <w:r w:rsidR="00265F8C">
        <w:rPr>
          <w:rFonts w:ascii="Arial Narrow" w:hAnsi="Arial Narrow"/>
        </w:rPr>
        <w:t>otación y en pérdidas</w:t>
      </w:r>
      <w:r w:rsidR="00C61FCF" w:rsidRPr="00814C47">
        <w:rPr>
          <w:rFonts w:ascii="Arial Narrow" w:hAnsi="Arial Narrow"/>
        </w:rPr>
        <w:t xml:space="preserve"> no técnicas para cada</w:t>
      </w:r>
      <w:r w:rsidR="00365296">
        <w:rPr>
          <w:rFonts w:ascii="Arial Narrow" w:hAnsi="Arial Narrow"/>
        </w:rPr>
        <w:t xml:space="preserve"> división de distribución</w:t>
      </w:r>
      <w:r w:rsidR="00566282" w:rsidRPr="00814C47">
        <w:rPr>
          <w:rFonts w:ascii="Arial Narrow" w:hAnsi="Arial Narrow"/>
        </w:rPr>
        <w:t xml:space="preserve"> que impactan en </w:t>
      </w:r>
      <w:r w:rsidR="0096062C" w:rsidRPr="00742F68">
        <w:rPr>
          <w:rFonts w:ascii="Arial Narrow" w:hAnsi="Arial Narrow"/>
        </w:rPr>
        <w:t>el cuadro tarifario</w:t>
      </w:r>
      <w:r w:rsidR="00566282" w:rsidRPr="00742F68">
        <w:rPr>
          <w:rFonts w:ascii="Arial Narrow" w:hAnsi="Arial Narrow"/>
        </w:rPr>
        <w:t xml:space="preserve"> para dichos años.</w:t>
      </w:r>
      <w:r w:rsidR="00566282" w:rsidRPr="00814C47">
        <w:rPr>
          <w:rFonts w:ascii="Arial Narrow" w:hAnsi="Arial Narrow"/>
        </w:rPr>
        <w:t xml:space="preserve"> </w:t>
      </w:r>
    </w:p>
    <w:p w:rsidR="00D6365C" w:rsidRPr="00814C47" w:rsidRDefault="00D6365C" w:rsidP="00C71743"/>
    <w:p w:rsidR="00D6365C" w:rsidRDefault="00D6365C" w:rsidP="001770D9">
      <w:pPr>
        <w:keepNext/>
        <w:keepLines/>
        <w:numPr>
          <w:ilvl w:val="0"/>
          <w:numId w:val="1"/>
        </w:numPr>
        <w:spacing w:after="0" w:line="240" w:lineRule="auto"/>
        <w:ind w:left="284" w:hanging="284"/>
        <w:jc w:val="both"/>
        <w:outlineLvl w:val="0"/>
        <w:rPr>
          <w:rFonts w:ascii="Arial Narrow" w:eastAsiaTheme="majorEastAsia" w:hAnsi="Arial Narrow" w:cstheme="majorBidi"/>
          <w:b/>
          <w:bCs/>
          <w:color w:val="000000" w:themeColor="text1"/>
        </w:rPr>
      </w:pPr>
      <w:r w:rsidRPr="00814C47">
        <w:rPr>
          <w:rFonts w:ascii="Arial Narrow" w:eastAsiaTheme="majorEastAsia" w:hAnsi="Arial Narrow" w:cstheme="majorBidi"/>
          <w:b/>
          <w:bCs/>
          <w:color w:val="000000" w:themeColor="text1"/>
        </w:rPr>
        <w:t>Introducción</w:t>
      </w:r>
    </w:p>
    <w:p w:rsidR="004F588D" w:rsidRDefault="004F588D" w:rsidP="00806B8E">
      <w:pPr>
        <w:spacing w:after="0" w:line="240" w:lineRule="auto"/>
        <w:jc w:val="both"/>
        <w:rPr>
          <w:rFonts w:ascii="Arial Narrow" w:hAnsi="Arial Narrow"/>
        </w:rPr>
      </w:pPr>
    </w:p>
    <w:p w:rsidR="009935D0" w:rsidRPr="00814C47" w:rsidRDefault="00973C97" w:rsidP="00814C47">
      <w:pPr>
        <w:spacing w:after="200" w:line="240" w:lineRule="auto"/>
        <w:jc w:val="both"/>
        <w:rPr>
          <w:rFonts w:ascii="Arial Narrow" w:hAnsi="Arial Narrow"/>
        </w:rPr>
      </w:pPr>
      <w:r w:rsidRPr="00814C47">
        <w:rPr>
          <w:rFonts w:ascii="Arial Narrow" w:hAnsi="Arial Narrow"/>
        </w:rPr>
        <w:t xml:space="preserve">Con fundamento en los artículos, 22, fracción XXII, inciso f), de la Ley de los Órganos Reguladores Coordinados en Materia Energética; 12, fracciones IV y V, 27, 58, 138, 139 y 140, fracción I y II de la Ley de la Industria Eléctrica; 7, fracción XV y 9 de la Ley Federal de Transparencia y Acceso a la Información Pública Gubernamental; y 8 de su Reglamento, </w:t>
      </w:r>
      <w:r w:rsidR="00566282" w:rsidRPr="00814C47">
        <w:rPr>
          <w:rFonts w:ascii="Arial Narrow" w:hAnsi="Arial Narrow"/>
        </w:rPr>
        <w:t>la Comisión publicó el Acuerdo A/074/2015</w:t>
      </w:r>
      <w:r w:rsidRPr="00814C47">
        <w:rPr>
          <w:rFonts w:ascii="Arial Narrow" w:hAnsi="Arial Narrow"/>
        </w:rPr>
        <w:t>, de fecha 31 de diciembre de 2015, a través del cual emitió las tarifas para el servicio público de Distribución de energía eléctrica, las cuales se deter</w:t>
      </w:r>
      <w:r w:rsidR="00566282" w:rsidRPr="00814C47">
        <w:rPr>
          <w:rFonts w:ascii="Arial Narrow" w:hAnsi="Arial Narrow"/>
        </w:rPr>
        <w:t xml:space="preserve">minaron con base en costos </w:t>
      </w:r>
      <w:r w:rsidR="00C67D84">
        <w:rPr>
          <w:rFonts w:ascii="Arial Narrow" w:hAnsi="Arial Narrow"/>
        </w:rPr>
        <w:t>erogados por CFE en 2014</w:t>
      </w:r>
      <w:r w:rsidR="00566282" w:rsidRPr="00814C47">
        <w:rPr>
          <w:rFonts w:ascii="Arial Narrow" w:hAnsi="Arial Narrow"/>
        </w:rPr>
        <w:t>. As</w:t>
      </w:r>
      <w:r w:rsidR="00AF5E05">
        <w:rPr>
          <w:rFonts w:ascii="Arial Narrow" w:hAnsi="Arial Narrow"/>
        </w:rPr>
        <w:t>i</w:t>
      </w:r>
      <w:r w:rsidR="00566282" w:rsidRPr="00814C47">
        <w:rPr>
          <w:rFonts w:ascii="Arial Narrow" w:hAnsi="Arial Narrow"/>
        </w:rPr>
        <w:t>mismo, se presenta una metodología para la remuneración de las perdid</w:t>
      </w:r>
      <w:r w:rsidR="00365296">
        <w:rPr>
          <w:rFonts w:ascii="Arial Narrow" w:hAnsi="Arial Narrow"/>
        </w:rPr>
        <w:t xml:space="preserve">as reconocidas al distribuidor. </w:t>
      </w:r>
      <w:r w:rsidR="00566282" w:rsidRPr="00814C47">
        <w:rPr>
          <w:rFonts w:ascii="Arial Narrow" w:hAnsi="Arial Narrow"/>
        </w:rPr>
        <w:t xml:space="preserve">Además, reconociendo la necesidad de alcanzar la eficiencia en el sector energético se presenta un sendero de eficiencia en costos de explotación y pérdidas de energía que impactarán el cuadro tarifario a partir de 2017. </w:t>
      </w:r>
    </w:p>
    <w:p w:rsidR="00C71743" w:rsidRDefault="00D6365C" w:rsidP="00C71743">
      <w:pPr>
        <w:spacing w:after="200" w:line="240" w:lineRule="auto"/>
        <w:jc w:val="both"/>
        <w:rPr>
          <w:rFonts w:ascii="Arial Narrow" w:hAnsi="Arial Narrow" w:cs="Arial"/>
        </w:rPr>
      </w:pPr>
      <w:r w:rsidRPr="00814C47">
        <w:rPr>
          <w:rFonts w:ascii="Arial Narrow" w:hAnsi="Arial Narrow" w:cs="Arial"/>
        </w:rPr>
        <w:t>La estructur</w:t>
      </w:r>
      <w:r w:rsidR="00626047" w:rsidRPr="00814C47">
        <w:rPr>
          <w:rFonts w:ascii="Arial Narrow" w:hAnsi="Arial Narrow" w:cs="Arial"/>
        </w:rPr>
        <w:t>a del documento es la siguiente. E</w:t>
      </w:r>
      <w:r w:rsidRPr="00814C47">
        <w:rPr>
          <w:rFonts w:ascii="Arial Narrow" w:hAnsi="Arial Narrow" w:cs="Arial"/>
        </w:rPr>
        <w:t>n el segundo apartado se describe el p</w:t>
      </w:r>
      <w:r w:rsidR="00365296">
        <w:rPr>
          <w:rFonts w:ascii="Arial Narrow" w:hAnsi="Arial Narrow" w:cs="Arial"/>
        </w:rPr>
        <w:t>rocedimiento para ca</w:t>
      </w:r>
      <w:r w:rsidR="00C71743">
        <w:rPr>
          <w:rFonts w:ascii="Arial Narrow" w:hAnsi="Arial Narrow" w:cs="Arial"/>
        </w:rPr>
        <w:t>lcular el Ingreso Requerido</w:t>
      </w:r>
      <w:r w:rsidRPr="00814C47">
        <w:rPr>
          <w:rFonts w:ascii="Arial Narrow" w:hAnsi="Arial Narrow" w:cs="Arial"/>
        </w:rPr>
        <w:t xml:space="preserve"> aprobado identificando los c</w:t>
      </w:r>
      <w:r w:rsidR="007E44AF" w:rsidRPr="00814C47">
        <w:rPr>
          <w:rFonts w:ascii="Arial Narrow" w:hAnsi="Arial Narrow" w:cs="Arial"/>
        </w:rPr>
        <w:t>ostos de explotación</w:t>
      </w:r>
      <w:r w:rsidR="00124D4B" w:rsidRPr="00814C47">
        <w:rPr>
          <w:rFonts w:ascii="Arial Narrow" w:hAnsi="Arial Narrow" w:cs="Arial"/>
        </w:rPr>
        <w:t xml:space="preserve"> atribuibles al servicio de Distr</w:t>
      </w:r>
      <w:r w:rsidR="00626047" w:rsidRPr="00814C47">
        <w:rPr>
          <w:rFonts w:ascii="Arial Narrow" w:hAnsi="Arial Narrow" w:cs="Arial"/>
        </w:rPr>
        <w:t xml:space="preserve">ibución en los que incurrió </w:t>
      </w:r>
      <w:r w:rsidR="00365296">
        <w:rPr>
          <w:rFonts w:ascii="Arial Narrow" w:hAnsi="Arial Narrow" w:cs="Arial"/>
        </w:rPr>
        <w:t xml:space="preserve">la </w:t>
      </w:r>
      <w:r w:rsidR="00626047" w:rsidRPr="00814C47">
        <w:rPr>
          <w:rFonts w:ascii="Arial Narrow" w:hAnsi="Arial Narrow" w:cs="Arial"/>
        </w:rPr>
        <w:t xml:space="preserve">CFE </w:t>
      </w:r>
      <w:r w:rsidR="00265F8C">
        <w:rPr>
          <w:rFonts w:ascii="Arial Narrow" w:hAnsi="Arial Narrow" w:cs="Arial"/>
        </w:rPr>
        <w:t>en 2014</w:t>
      </w:r>
      <w:r w:rsidRPr="00814C47">
        <w:rPr>
          <w:rFonts w:ascii="Arial Narrow" w:hAnsi="Arial Narrow" w:cs="Arial"/>
        </w:rPr>
        <w:t>. También s</w:t>
      </w:r>
      <w:r w:rsidR="007E44AF" w:rsidRPr="00814C47">
        <w:rPr>
          <w:rFonts w:ascii="Arial Narrow" w:hAnsi="Arial Narrow" w:cs="Arial"/>
        </w:rPr>
        <w:t>e analiza el costo de capital de la activi</w:t>
      </w:r>
      <w:r w:rsidR="00265F8C">
        <w:rPr>
          <w:rFonts w:ascii="Arial Narrow" w:hAnsi="Arial Narrow" w:cs="Arial"/>
        </w:rPr>
        <w:t>dad</w:t>
      </w:r>
      <w:r w:rsidR="007E44AF" w:rsidRPr="00814C47">
        <w:rPr>
          <w:rFonts w:ascii="Arial Narrow" w:hAnsi="Arial Narrow" w:cs="Arial"/>
        </w:rPr>
        <w:t xml:space="preserve"> de </w:t>
      </w:r>
      <w:r w:rsidR="00265F8C">
        <w:rPr>
          <w:rFonts w:ascii="Arial Narrow" w:hAnsi="Arial Narrow" w:cs="Arial"/>
        </w:rPr>
        <w:t>Distribución</w:t>
      </w:r>
      <w:r w:rsidR="00124D4B" w:rsidRPr="00814C47">
        <w:rPr>
          <w:rFonts w:ascii="Arial Narrow" w:hAnsi="Arial Narrow" w:cs="Arial"/>
        </w:rPr>
        <w:t>.</w:t>
      </w:r>
      <w:r w:rsidRPr="00814C47">
        <w:rPr>
          <w:rFonts w:ascii="Arial Narrow" w:hAnsi="Arial Narrow" w:cs="Arial"/>
        </w:rPr>
        <w:t xml:space="preserve"> En el tercer apartado,</w:t>
      </w:r>
      <w:r w:rsidR="00365296">
        <w:rPr>
          <w:rFonts w:ascii="Arial Narrow" w:hAnsi="Arial Narrow" w:cs="Arial"/>
        </w:rPr>
        <w:t xml:space="preserve"> se </w:t>
      </w:r>
      <w:r w:rsidR="007E44AF" w:rsidRPr="00814C47">
        <w:rPr>
          <w:rFonts w:ascii="Arial Narrow" w:hAnsi="Arial Narrow" w:cs="Arial"/>
        </w:rPr>
        <w:t>presenta el cuad</w:t>
      </w:r>
      <w:r w:rsidR="004F588D">
        <w:rPr>
          <w:rFonts w:ascii="Arial Narrow" w:hAnsi="Arial Narrow" w:cs="Arial"/>
        </w:rPr>
        <w:t>ro tarifario</w:t>
      </w:r>
      <w:r w:rsidR="00C71743">
        <w:rPr>
          <w:rFonts w:ascii="Arial Narrow" w:hAnsi="Arial Narrow" w:cs="Arial"/>
        </w:rPr>
        <w:t xml:space="preserve">, donde también </w:t>
      </w:r>
      <w:r w:rsidR="00C71743" w:rsidRPr="00814C47">
        <w:rPr>
          <w:rFonts w:ascii="Arial Narrow" w:hAnsi="Arial Narrow" w:cs="Arial"/>
        </w:rPr>
        <w:t>se describe el mecanismo para la recuperación del ingreso requerido atribuible a pérdidas reconocidas al distrib</w:t>
      </w:r>
      <w:r w:rsidR="00C71743">
        <w:rPr>
          <w:rFonts w:ascii="Arial Narrow" w:hAnsi="Arial Narrow" w:cs="Arial"/>
        </w:rPr>
        <w:t>uidor en 2016</w:t>
      </w:r>
      <w:r w:rsidR="005175DA" w:rsidRPr="00814C47">
        <w:rPr>
          <w:rFonts w:ascii="Arial Narrow" w:hAnsi="Arial Narrow" w:cs="Arial"/>
        </w:rPr>
        <w:t xml:space="preserve">. En </w:t>
      </w:r>
      <w:r w:rsidR="001770D9">
        <w:rPr>
          <w:rFonts w:ascii="Arial Narrow" w:hAnsi="Arial Narrow" w:cs="Arial"/>
        </w:rPr>
        <w:t xml:space="preserve">el </w:t>
      </w:r>
      <w:r w:rsidR="005175DA" w:rsidRPr="00814C47">
        <w:rPr>
          <w:rFonts w:ascii="Arial Narrow" w:hAnsi="Arial Narrow" w:cs="Arial"/>
        </w:rPr>
        <w:t xml:space="preserve">apartado cuarto, se </w:t>
      </w:r>
      <w:r w:rsidR="00C71743">
        <w:rPr>
          <w:rFonts w:ascii="Arial Narrow" w:hAnsi="Arial Narrow" w:cs="Arial"/>
        </w:rPr>
        <w:t xml:space="preserve">presenta el </w:t>
      </w:r>
      <w:r w:rsidR="00C71743" w:rsidRPr="00814C47">
        <w:rPr>
          <w:rFonts w:ascii="Arial Narrow" w:hAnsi="Arial Narrow" w:cs="Arial"/>
        </w:rPr>
        <w:t xml:space="preserve">sendero de eficiencia en pérdidas de energía </w:t>
      </w:r>
      <w:r w:rsidR="00C71743">
        <w:rPr>
          <w:rFonts w:ascii="Arial Narrow" w:hAnsi="Arial Narrow" w:cs="Arial"/>
        </w:rPr>
        <w:t>y en costos de explotación. Finalmente</w:t>
      </w:r>
      <w:r w:rsidR="00C71743" w:rsidRPr="00814C47">
        <w:rPr>
          <w:rFonts w:ascii="Arial Narrow" w:hAnsi="Arial Narrow" w:cs="Arial"/>
        </w:rPr>
        <w:t xml:space="preserve">, se </w:t>
      </w:r>
      <w:r w:rsidR="00C71743">
        <w:rPr>
          <w:rFonts w:ascii="Arial Narrow" w:hAnsi="Arial Narrow" w:cs="Arial"/>
        </w:rPr>
        <w:t>describe</w:t>
      </w:r>
      <w:r w:rsidR="00C71743" w:rsidRPr="00814C47">
        <w:rPr>
          <w:rFonts w:ascii="Arial Narrow" w:hAnsi="Arial Narrow" w:cs="Arial"/>
        </w:rPr>
        <w:t xml:space="preserve"> la forma de actualización de tarifas a partir de 2017</w:t>
      </w:r>
      <w:r w:rsidR="00C71743">
        <w:rPr>
          <w:rFonts w:ascii="Arial Narrow" w:hAnsi="Arial Narrow" w:cs="Arial"/>
        </w:rPr>
        <w:t>.</w:t>
      </w:r>
    </w:p>
    <w:p w:rsidR="001770D9" w:rsidRPr="00C71743" w:rsidRDefault="00003B67" w:rsidP="00C71743">
      <w:pPr>
        <w:pStyle w:val="Prrafodelista"/>
        <w:numPr>
          <w:ilvl w:val="0"/>
          <w:numId w:val="1"/>
        </w:numPr>
        <w:spacing w:after="200" w:line="240" w:lineRule="auto"/>
        <w:ind w:left="450" w:hanging="450"/>
        <w:jc w:val="both"/>
        <w:rPr>
          <w:rFonts w:ascii="Arial Narrow" w:eastAsiaTheme="majorEastAsia" w:hAnsi="Arial Narrow" w:cstheme="majorBidi"/>
          <w:b/>
          <w:bCs/>
          <w:color w:val="000000" w:themeColor="text1"/>
        </w:rPr>
      </w:pPr>
      <w:r w:rsidRPr="00C71743">
        <w:rPr>
          <w:rFonts w:ascii="Arial Narrow" w:eastAsiaTheme="majorEastAsia" w:hAnsi="Arial Narrow" w:cstheme="majorBidi"/>
          <w:b/>
          <w:bCs/>
          <w:color w:val="000000" w:themeColor="text1"/>
        </w:rPr>
        <w:lastRenderedPageBreak/>
        <w:t xml:space="preserve">Cálculo de </w:t>
      </w:r>
      <w:r w:rsidR="00365296" w:rsidRPr="00C71743">
        <w:rPr>
          <w:rFonts w:ascii="Arial Narrow" w:eastAsiaTheme="majorEastAsia" w:hAnsi="Arial Narrow" w:cstheme="majorBidi"/>
          <w:b/>
          <w:bCs/>
          <w:color w:val="000000" w:themeColor="text1"/>
        </w:rPr>
        <w:t>I</w:t>
      </w:r>
      <w:r w:rsidR="00D6365C" w:rsidRPr="00C71743">
        <w:rPr>
          <w:rFonts w:ascii="Arial Narrow" w:eastAsiaTheme="majorEastAsia" w:hAnsi="Arial Narrow" w:cstheme="majorBidi"/>
          <w:b/>
          <w:bCs/>
          <w:color w:val="000000" w:themeColor="text1"/>
        </w:rPr>
        <w:t>ngreso Requerido</w:t>
      </w:r>
    </w:p>
    <w:p w:rsidR="004F588D" w:rsidRDefault="004F588D" w:rsidP="00806B8E">
      <w:pPr>
        <w:spacing w:after="0"/>
      </w:pPr>
    </w:p>
    <w:p w:rsidR="00003B67" w:rsidRPr="001770D9" w:rsidRDefault="00003B67" w:rsidP="001770D9">
      <w:pPr>
        <w:spacing w:line="240" w:lineRule="auto"/>
        <w:ind w:left="66"/>
        <w:jc w:val="both"/>
        <w:rPr>
          <w:rFonts w:ascii="Arial Narrow" w:eastAsiaTheme="majorEastAsia" w:hAnsi="Arial Narrow" w:cstheme="majorBidi"/>
          <w:b/>
          <w:bCs/>
          <w:color w:val="000000" w:themeColor="text1"/>
        </w:rPr>
      </w:pPr>
      <w:r w:rsidRPr="001770D9">
        <w:rPr>
          <w:rFonts w:ascii="Arial Narrow" w:hAnsi="Arial Narrow"/>
        </w:rPr>
        <w:t>El procedimiento para</w:t>
      </w:r>
      <w:r w:rsidR="001770D9">
        <w:rPr>
          <w:rFonts w:ascii="Arial Narrow" w:hAnsi="Arial Narrow"/>
        </w:rPr>
        <w:t xml:space="preserve"> estimar el I</w:t>
      </w:r>
      <w:r w:rsidR="00AF5E05">
        <w:rPr>
          <w:rFonts w:ascii="Arial Narrow" w:hAnsi="Arial Narrow"/>
        </w:rPr>
        <w:t xml:space="preserve">ngreso </w:t>
      </w:r>
      <w:r w:rsidR="001770D9">
        <w:rPr>
          <w:rFonts w:ascii="Arial Narrow" w:hAnsi="Arial Narrow"/>
        </w:rPr>
        <w:t>R</w:t>
      </w:r>
      <w:r w:rsidR="00AF5E05">
        <w:rPr>
          <w:rFonts w:ascii="Arial Narrow" w:hAnsi="Arial Narrow"/>
        </w:rPr>
        <w:t>equerido (IR)</w:t>
      </w:r>
      <w:r w:rsidRPr="001770D9">
        <w:rPr>
          <w:rFonts w:ascii="Arial Narrow" w:hAnsi="Arial Narrow"/>
        </w:rPr>
        <w:t xml:space="preserve"> para cubrir los costos adecuados de operación y mantenimiento aplicables al</w:t>
      </w:r>
      <w:r w:rsidR="0091751A" w:rsidRPr="001770D9">
        <w:rPr>
          <w:rFonts w:ascii="Arial Narrow" w:hAnsi="Arial Narrow"/>
        </w:rPr>
        <w:t xml:space="preserve"> s</w:t>
      </w:r>
      <w:r w:rsidR="001770D9">
        <w:rPr>
          <w:rFonts w:ascii="Arial Narrow" w:hAnsi="Arial Narrow"/>
        </w:rPr>
        <w:t>ervicio público de Distribución</w:t>
      </w:r>
      <w:r w:rsidRPr="001770D9">
        <w:rPr>
          <w:rFonts w:ascii="Arial Narrow" w:hAnsi="Arial Narrow"/>
        </w:rPr>
        <w:t>, es el siguiente</w:t>
      </w:r>
      <w:r w:rsidR="001770D9">
        <w:rPr>
          <w:rFonts w:ascii="Arial Narrow" w:hAnsi="Arial Narrow"/>
        </w:rPr>
        <w:t>:</w:t>
      </w:r>
    </w:p>
    <w:p w:rsidR="0097705C" w:rsidRPr="004F588D" w:rsidRDefault="001770D9" w:rsidP="00D81D2A">
      <w:pPr>
        <w:pStyle w:val="Prrafodelista"/>
        <w:numPr>
          <w:ilvl w:val="0"/>
          <w:numId w:val="2"/>
        </w:numPr>
        <w:jc w:val="both"/>
        <w:rPr>
          <w:rFonts w:ascii="Arial Narrow" w:hAnsi="Arial Narrow"/>
        </w:rPr>
      </w:pPr>
      <w:r w:rsidRPr="004F588D">
        <w:rPr>
          <w:rFonts w:ascii="Arial Narrow" w:hAnsi="Arial Narrow"/>
          <w:lang w:val="es-UY"/>
        </w:rPr>
        <w:t xml:space="preserve">Recopilación y </w:t>
      </w:r>
      <w:r w:rsidR="0097705C" w:rsidRPr="004F588D">
        <w:rPr>
          <w:rFonts w:ascii="Arial Narrow" w:hAnsi="Arial Narrow"/>
          <w:lang w:val="es-UY"/>
        </w:rPr>
        <w:t>análisis de la in</w:t>
      </w:r>
      <w:r w:rsidR="003C69D7" w:rsidRPr="004F588D">
        <w:rPr>
          <w:rFonts w:ascii="Arial Narrow" w:hAnsi="Arial Narrow"/>
          <w:lang w:val="es-UY"/>
        </w:rPr>
        <w:t>formación contable de CFE en 2014</w:t>
      </w:r>
      <w:r w:rsidR="0097705C" w:rsidRPr="004F588D">
        <w:rPr>
          <w:rFonts w:ascii="Arial Narrow" w:hAnsi="Arial Narrow"/>
          <w:lang w:val="es-UY"/>
        </w:rPr>
        <w:t>, con el objeto de de</w:t>
      </w:r>
      <w:r w:rsidR="00AC5440" w:rsidRPr="004F588D">
        <w:rPr>
          <w:rFonts w:ascii="Arial Narrow" w:hAnsi="Arial Narrow"/>
          <w:lang w:val="es-UY"/>
        </w:rPr>
        <w:t>terminar los costos totales de D</w:t>
      </w:r>
      <w:r w:rsidR="00FE1E05" w:rsidRPr="004F588D">
        <w:rPr>
          <w:rFonts w:ascii="Arial Narrow" w:hAnsi="Arial Narrow"/>
          <w:lang w:val="es-UY"/>
        </w:rPr>
        <w:t>istribución</w:t>
      </w:r>
    </w:p>
    <w:p w:rsidR="00C77E96" w:rsidRPr="00814C47" w:rsidRDefault="000D0075" w:rsidP="00D81D2A">
      <w:pPr>
        <w:pStyle w:val="Prrafodelista"/>
        <w:numPr>
          <w:ilvl w:val="0"/>
          <w:numId w:val="2"/>
        </w:numPr>
        <w:spacing w:after="200" w:line="240" w:lineRule="auto"/>
        <w:jc w:val="both"/>
        <w:rPr>
          <w:rFonts w:ascii="Arial Narrow" w:hAnsi="Arial Narrow" w:cs="Arial"/>
        </w:rPr>
      </w:pPr>
      <w:r w:rsidRPr="00814C47">
        <w:rPr>
          <w:rFonts w:ascii="Arial Narrow" w:hAnsi="Arial Narrow" w:cs="Arial"/>
        </w:rPr>
        <w:t>Sobre la base de contabilidad desagregada de CFE se determinaron y reasignaron los costos de explotación para cada una de la</w:t>
      </w:r>
      <w:r w:rsidR="001770D9">
        <w:rPr>
          <w:rFonts w:ascii="Arial Narrow" w:hAnsi="Arial Narrow" w:cs="Arial"/>
        </w:rPr>
        <w:t>s 16 divisiones de distribución</w:t>
      </w:r>
      <w:r w:rsidRPr="00814C47">
        <w:rPr>
          <w:rFonts w:ascii="Arial Narrow" w:hAnsi="Arial Narrow" w:cs="Arial"/>
        </w:rPr>
        <w:t xml:space="preserve"> y su seg</w:t>
      </w:r>
      <w:r w:rsidR="001770D9">
        <w:rPr>
          <w:rFonts w:ascii="Arial Narrow" w:hAnsi="Arial Narrow" w:cs="Arial"/>
        </w:rPr>
        <w:t>regación por niv</w:t>
      </w:r>
      <w:r w:rsidR="004F588D">
        <w:rPr>
          <w:rFonts w:ascii="Arial Narrow" w:hAnsi="Arial Narrow" w:cs="Arial"/>
        </w:rPr>
        <w:t>el de tensión: M</w:t>
      </w:r>
      <w:r w:rsidRPr="00814C47">
        <w:rPr>
          <w:rFonts w:ascii="Arial Narrow" w:hAnsi="Arial Narrow" w:cs="Arial"/>
        </w:rPr>
        <w:t>edia</w:t>
      </w:r>
      <w:r w:rsidR="004F588D">
        <w:rPr>
          <w:rFonts w:ascii="Arial Narrow" w:hAnsi="Arial Narrow" w:cs="Arial"/>
        </w:rPr>
        <w:t xml:space="preserve"> Tensión (MT) y Baja T</w:t>
      </w:r>
      <w:r w:rsidRPr="00814C47">
        <w:rPr>
          <w:rFonts w:ascii="Arial Narrow" w:hAnsi="Arial Narrow" w:cs="Arial"/>
        </w:rPr>
        <w:t>ensión</w:t>
      </w:r>
      <w:r w:rsidR="004F588D">
        <w:rPr>
          <w:rFonts w:ascii="Arial Narrow" w:hAnsi="Arial Narrow" w:cs="Arial"/>
        </w:rPr>
        <w:t xml:space="preserve"> (</w:t>
      </w:r>
      <w:r w:rsidR="001770D9">
        <w:rPr>
          <w:rFonts w:ascii="Arial Narrow" w:hAnsi="Arial Narrow" w:cs="Arial"/>
        </w:rPr>
        <w:t>BT)</w:t>
      </w:r>
      <w:r w:rsidR="00C77E96" w:rsidRPr="00814C47">
        <w:rPr>
          <w:rFonts w:ascii="Arial Narrow" w:hAnsi="Arial Narrow" w:cs="Arial"/>
        </w:rPr>
        <w:t>.</w:t>
      </w:r>
    </w:p>
    <w:p w:rsidR="00CD1123" w:rsidRPr="00814C47" w:rsidRDefault="00C77E96" w:rsidP="00D81D2A">
      <w:pPr>
        <w:pStyle w:val="Prrafodelista"/>
        <w:numPr>
          <w:ilvl w:val="0"/>
          <w:numId w:val="2"/>
        </w:numPr>
        <w:spacing w:after="200" w:line="240" w:lineRule="auto"/>
        <w:jc w:val="both"/>
        <w:rPr>
          <w:rFonts w:ascii="Arial Narrow" w:hAnsi="Arial Narrow" w:cs="Arial"/>
        </w:rPr>
      </w:pPr>
      <w:r w:rsidRPr="00814C47">
        <w:rPr>
          <w:rFonts w:ascii="Arial Narrow" w:hAnsi="Arial Narrow" w:cs="Arial"/>
        </w:rPr>
        <w:t>Para el cálculo del costo de cap</w:t>
      </w:r>
      <w:r w:rsidR="00AC5440">
        <w:rPr>
          <w:rFonts w:ascii="Arial Narrow" w:hAnsi="Arial Narrow" w:cs="Arial"/>
        </w:rPr>
        <w:t>ital se analizaron los Estados Financieros D</w:t>
      </w:r>
      <w:r w:rsidRPr="00814C47">
        <w:rPr>
          <w:rFonts w:ascii="Arial Narrow" w:hAnsi="Arial Narrow" w:cs="Arial"/>
        </w:rPr>
        <w:t xml:space="preserve">ictaminados validándolos con una metodología VNR (valor </w:t>
      </w:r>
      <w:r w:rsidR="008016C8" w:rsidRPr="00814C47">
        <w:rPr>
          <w:rFonts w:ascii="Arial Narrow" w:hAnsi="Arial Narrow" w:cs="Arial"/>
        </w:rPr>
        <w:t>nuevo de reemplazo)</w:t>
      </w:r>
      <w:r w:rsidR="004F588D">
        <w:rPr>
          <w:rFonts w:ascii="Arial Narrow" w:hAnsi="Arial Narrow" w:cs="Arial"/>
        </w:rPr>
        <w:t xml:space="preserve">, que </w:t>
      </w:r>
      <w:r w:rsidR="008016C8" w:rsidRPr="00814C47">
        <w:rPr>
          <w:rFonts w:ascii="Arial Narrow" w:hAnsi="Arial Narrow" w:cs="Arial"/>
        </w:rPr>
        <w:t>sirve</w:t>
      </w:r>
      <w:r w:rsidRPr="00814C47">
        <w:rPr>
          <w:rFonts w:ascii="Arial Narrow" w:hAnsi="Arial Narrow" w:cs="Arial"/>
        </w:rPr>
        <w:t xml:space="preserve"> </w:t>
      </w:r>
      <w:r w:rsidR="008016C8" w:rsidRPr="00814C47">
        <w:rPr>
          <w:rFonts w:ascii="Arial Narrow" w:hAnsi="Arial Narrow" w:cs="Arial"/>
        </w:rPr>
        <w:t>para estimar la base de capital utilizado</w:t>
      </w:r>
      <w:r w:rsidRPr="00814C47">
        <w:rPr>
          <w:rFonts w:ascii="Arial Narrow" w:hAnsi="Arial Narrow" w:cs="Arial"/>
        </w:rPr>
        <w:t xml:space="preserve"> para la a</w:t>
      </w:r>
      <w:r w:rsidR="00AC5440">
        <w:rPr>
          <w:rFonts w:ascii="Arial Narrow" w:hAnsi="Arial Narrow" w:cs="Arial"/>
        </w:rPr>
        <w:t>ctividad de D</w:t>
      </w:r>
      <w:r w:rsidRPr="00814C47">
        <w:rPr>
          <w:rFonts w:ascii="Arial Narrow" w:hAnsi="Arial Narrow" w:cs="Arial"/>
        </w:rPr>
        <w:t>istribución</w:t>
      </w:r>
      <w:r w:rsidR="008016C8" w:rsidRPr="00814C47">
        <w:rPr>
          <w:rFonts w:ascii="Arial Narrow" w:hAnsi="Arial Narrow" w:cs="Arial"/>
        </w:rPr>
        <w:t>. Adicionalmente, se estimó una tasa de</w:t>
      </w:r>
      <w:r w:rsidR="001770D9">
        <w:rPr>
          <w:rFonts w:ascii="Arial Narrow" w:hAnsi="Arial Narrow" w:cs="Arial"/>
        </w:rPr>
        <w:t xml:space="preserve"> retorno</w:t>
      </w:r>
      <w:r w:rsidR="008016C8" w:rsidRPr="00814C47">
        <w:rPr>
          <w:rFonts w:ascii="Arial Narrow" w:hAnsi="Arial Narrow" w:cs="Arial"/>
        </w:rPr>
        <w:t>, a través de la metodología de costo medio ponderado de capital</w:t>
      </w:r>
      <w:r w:rsidR="001F157A">
        <w:rPr>
          <w:rFonts w:ascii="Arial Narrow" w:hAnsi="Arial Narrow" w:cs="Arial"/>
        </w:rPr>
        <w:t xml:space="preserve"> (WACC).</w:t>
      </w:r>
    </w:p>
    <w:p w:rsidR="00E5788E" w:rsidRPr="004F588D" w:rsidRDefault="00C77E96" w:rsidP="00D81D2A">
      <w:pPr>
        <w:pStyle w:val="Prrafodelista"/>
        <w:numPr>
          <w:ilvl w:val="0"/>
          <w:numId w:val="2"/>
        </w:numPr>
        <w:jc w:val="both"/>
        <w:rPr>
          <w:rFonts w:ascii="Arial Narrow" w:hAnsi="Arial Narrow"/>
        </w:rPr>
      </w:pPr>
      <w:r w:rsidRPr="004F588D">
        <w:rPr>
          <w:rFonts w:ascii="Arial Narrow" w:hAnsi="Arial Narrow"/>
          <w:lang w:val="es-UY"/>
        </w:rPr>
        <w:t>Considerando cos</w:t>
      </w:r>
      <w:r w:rsidR="008016C8" w:rsidRPr="004F588D">
        <w:rPr>
          <w:rFonts w:ascii="Arial Narrow" w:hAnsi="Arial Narrow"/>
          <w:lang w:val="es-UY"/>
        </w:rPr>
        <w:t>tos de explotación y de capita</w:t>
      </w:r>
      <w:r w:rsidR="004F588D" w:rsidRPr="004F588D">
        <w:rPr>
          <w:rFonts w:ascii="Arial Narrow" w:hAnsi="Arial Narrow"/>
          <w:lang w:val="es-UY"/>
        </w:rPr>
        <w:t>l se obtuvo</w:t>
      </w:r>
      <w:r w:rsidR="001770D9" w:rsidRPr="004F588D">
        <w:rPr>
          <w:rFonts w:ascii="Arial Narrow" w:hAnsi="Arial Narrow"/>
          <w:lang w:val="es-UY"/>
        </w:rPr>
        <w:t xml:space="preserve"> un IR</w:t>
      </w:r>
      <w:r w:rsidR="008016C8" w:rsidRPr="004F588D">
        <w:rPr>
          <w:rFonts w:ascii="Arial Narrow" w:hAnsi="Arial Narrow"/>
          <w:lang w:val="es-UY"/>
        </w:rPr>
        <w:t xml:space="preserve"> que le permite al distribuidor recuperar dichos costos sin considerar pérdidas de</w:t>
      </w:r>
      <w:r w:rsidR="004F588D" w:rsidRPr="004F588D">
        <w:rPr>
          <w:rFonts w:ascii="Arial Narrow" w:hAnsi="Arial Narrow"/>
          <w:lang w:val="es-UY"/>
        </w:rPr>
        <w:t xml:space="preserve"> energía</w:t>
      </w:r>
      <w:r w:rsidR="008016C8" w:rsidRPr="004F588D">
        <w:rPr>
          <w:rFonts w:ascii="Arial Narrow" w:hAnsi="Arial Narrow"/>
          <w:lang w:val="es-UY"/>
        </w:rPr>
        <w:t xml:space="preserve">. </w:t>
      </w:r>
    </w:p>
    <w:p w:rsidR="00D81D2A" w:rsidRDefault="001770D9" w:rsidP="00814C47">
      <w:pPr>
        <w:spacing w:line="240" w:lineRule="auto"/>
        <w:jc w:val="both"/>
        <w:rPr>
          <w:rFonts w:ascii="Arial Narrow" w:hAnsi="Arial Narrow"/>
          <w:lang w:val="es-UY"/>
        </w:rPr>
      </w:pPr>
      <w:r>
        <w:rPr>
          <w:rFonts w:ascii="Arial Narrow" w:hAnsi="Arial Narrow"/>
          <w:lang w:val="es-UY"/>
        </w:rPr>
        <w:t xml:space="preserve">A continuación se describe </w:t>
      </w:r>
      <w:r w:rsidR="00D81D2A">
        <w:rPr>
          <w:rFonts w:ascii="Arial Narrow" w:hAnsi="Arial Narrow"/>
          <w:lang w:val="es-UY"/>
        </w:rPr>
        <w:t xml:space="preserve">de manera </w:t>
      </w:r>
      <w:r>
        <w:rPr>
          <w:rFonts w:ascii="Arial Narrow" w:hAnsi="Arial Narrow"/>
          <w:lang w:val="es-UY"/>
        </w:rPr>
        <w:t>detallada</w:t>
      </w:r>
      <w:r w:rsidR="00D81D2A">
        <w:rPr>
          <w:rFonts w:ascii="Arial Narrow" w:hAnsi="Arial Narrow"/>
          <w:lang w:val="es-UY"/>
        </w:rPr>
        <w:t xml:space="preserve"> el procedimiento para obtener el IR</w:t>
      </w:r>
    </w:p>
    <w:p w:rsidR="00182992" w:rsidRPr="00814C47" w:rsidRDefault="00B422A4" w:rsidP="00814C47">
      <w:pPr>
        <w:spacing w:line="240" w:lineRule="auto"/>
        <w:jc w:val="both"/>
        <w:rPr>
          <w:rFonts w:ascii="Arial Narrow" w:hAnsi="Arial Narrow"/>
          <w:lang w:val="es-UY"/>
        </w:rPr>
      </w:pPr>
      <w:r>
        <w:rPr>
          <w:rFonts w:ascii="Arial Narrow" w:hAnsi="Arial Narrow"/>
          <w:lang w:val="es-UY"/>
        </w:rPr>
        <w:t xml:space="preserve">La CFE presentó a la Comisión de manera conjunta información para las actividades de Distribución y Suministro. </w:t>
      </w:r>
      <w:r w:rsidR="00182992" w:rsidRPr="00814C47">
        <w:rPr>
          <w:rFonts w:ascii="Arial Narrow" w:hAnsi="Arial Narrow"/>
          <w:lang w:val="es-UY"/>
        </w:rPr>
        <w:t xml:space="preserve">Para determinar de manera desagregada los </w:t>
      </w:r>
      <w:r w:rsidR="00182992" w:rsidRPr="00814C47">
        <w:rPr>
          <w:rFonts w:ascii="Arial Narrow" w:hAnsi="Arial Narrow"/>
        </w:rPr>
        <w:t>ingresos recuperables</w:t>
      </w:r>
      <w:r w:rsidR="00182992" w:rsidRPr="00814C47">
        <w:rPr>
          <w:rFonts w:ascii="Arial Narrow" w:hAnsi="Arial Narrow"/>
          <w:lang w:val="es-UY"/>
        </w:rPr>
        <w:t xml:space="preserve"> de </w:t>
      </w:r>
      <w:r>
        <w:rPr>
          <w:rFonts w:ascii="Arial Narrow" w:hAnsi="Arial Narrow"/>
          <w:lang w:val="es-UY"/>
        </w:rPr>
        <w:t>cada actividad</w:t>
      </w:r>
      <w:r w:rsidR="00182992" w:rsidRPr="00814C47">
        <w:rPr>
          <w:rFonts w:ascii="Arial Narrow" w:hAnsi="Arial Narrow"/>
          <w:lang w:val="es-UY"/>
        </w:rPr>
        <w:t xml:space="preserve">, </w:t>
      </w:r>
      <w:r>
        <w:rPr>
          <w:rFonts w:ascii="Arial Narrow" w:hAnsi="Arial Narrow"/>
          <w:lang w:val="es-UY"/>
        </w:rPr>
        <w:t>se considera</w:t>
      </w:r>
      <w:r w:rsidR="00182992" w:rsidRPr="00814C47">
        <w:rPr>
          <w:rFonts w:ascii="Arial Narrow" w:hAnsi="Arial Narrow"/>
          <w:lang w:val="es-UY"/>
        </w:rPr>
        <w:t>n los siguientes criterios:</w:t>
      </w:r>
    </w:p>
    <w:p w:rsidR="00182992" w:rsidRPr="00F77D9A" w:rsidRDefault="00182992" w:rsidP="00D81D2A">
      <w:pPr>
        <w:pStyle w:val="Prrafodelista"/>
        <w:numPr>
          <w:ilvl w:val="0"/>
          <w:numId w:val="7"/>
        </w:numPr>
        <w:spacing w:after="0" w:line="240" w:lineRule="auto"/>
        <w:jc w:val="both"/>
        <w:rPr>
          <w:rFonts w:ascii="Arial Narrow" w:hAnsi="Arial Narrow"/>
          <w:lang w:val="es-UY"/>
        </w:rPr>
      </w:pPr>
      <w:r w:rsidRPr="00F77D9A">
        <w:rPr>
          <w:rFonts w:ascii="Arial Narrow" w:hAnsi="Arial Narrow"/>
          <w:lang w:val="es-UY"/>
        </w:rPr>
        <w:t>Los costos de explotación (costos OMA) fueron asignados 72% a Distribución y 28% a Suministro.</w:t>
      </w:r>
    </w:p>
    <w:p w:rsidR="00182992" w:rsidRDefault="00182992" w:rsidP="00D81D2A">
      <w:pPr>
        <w:pStyle w:val="Prrafodelista"/>
        <w:numPr>
          <w:ilvl w:val="0"/>
          <w:numId w:val="7"/>
        </w:numPr>
        <w:spacing w:after="0" w:line="240" w:lineRule="auto"/>
        <w:jc w:val="both"/>
        <w:rPr>
          <w:rFonts w:ascii="Arial Narrow" w:hAnsi="Arial Narrow"/>
          <w:lang w:val="es-UY"/>
        </w:rPr>
      </w:pPr>
      <w:r w:rsidRPr="00F77D9A">
        <w:rPr>
          <w:rFonts w:ascii="Arial Narrow" w:hAnsi="Arial Narrow"/>
          <w:lang w:val="es-UY"/>
        </w:rPr>
        <w:t>El pasivo laboral se asignó 74% a Distribución y 26% a Suministro.</w:t>
      </w:r>
    </w:p>
    <w:p w:rsidR="00F77D9A" w:rsidRPr="001F157A" w:rsidRDefault="00F77D9A" w:rsidP="001F157A">
      <w:pPr>
        <w:spacing w:after="0" w:line="240" w:lineRule="auto"/>
        <w:jc w:val="both"/>
        <w:rPr>
          <w:rFonts w:ascii="Arial Narrow" w:hAnsi="Arial Narrow"/>
          <w:lang w:val="es-UY"/>
        </w:rPr>
      </w:pPr>
    </w:p>
    <w:p w:rsidR="005937A1" w:rsidRPr="00814C47" w:rsidRDefault="001770D9" w:rsidP="00814C47">
      <w:pPr>
        <w:spacing w:line="240" w:lineRule="auto"/>
        <w:jc w:val="both"/>
        <w:rPr>
          <w:rFonts w:ascii="Arial Narrow" w:hAnsi="Arial Narrow"/>
        </w:rPr>
      </w:pPr>
      <w:r>
        <w:rPr>
          <w:rFonts w:ascii="Arial Narrow" w:hAnsi="Arial Narrow"/>
        </w:rPr>
        <w:t>Además,</w:t>
      </w:r>
      <w:r w:rsidR="005937A1" w:rsidRPr="00814C47">
        <w:rPr>
          <w:rFonts w:ascii="Arial Narrow" w:hAnsi="Arial Narrow"/>
        </w:rPr>
        <w:t xml:space="preserve"> los conceptos considerados para la </w:t>
      </w:r>
      <w:r w:rsidR="00814C47" w:rsidRPr="00814C47">
        <w:rPr>
          <w:rFonts w:ascii="Arial Narrow" w:hAnsi="Arial Narrow"/>
        </w:rPr>
        <w:t>determinación de costos totales</w:t>
      </w:r>
      <w:r w:rsidR="005937A1" w:rsidRPr="00814C47">
        <w:rPr>
          <w:rFonts w:ascii="Arial Narrow" w:hAnsi="Arial Narrow"/>
        </w:rPr>
        <w:t>, referidos al año 2014, a ser reconocidos en tarifas base</w:t>
      </w:r>
      <w:r>
        <w:rPr>
          <w:rFonts w:ascii="Arial Narrow" w:hAnsi="Arial Narrow"/>
        </w:rPr>
        <w:t xml:space="preserve"> son los siguientes</w:t>
      </w:r>
      <w:r w:rsidR="005937A1" w:rsidRPr="00814C47">
        <w:rPr>
          <w:rFonts w:ascii="Arial Narrow" w:hAnsi="Arial Narrow"/>
        </w:rPr>
        <w:t>:</w:t>
      </w:r>
    </w:p>
    <w:p w:rsidR="005937A1" w:rsidRPr="00D27D18" w:rsidRDefault="005937A1" w:rsidP="0036279F">
      <w:pPr>
        <w:numPr>
          <w:ilvl w:val="0"/>
          <w:numId w:val="6"/>
        </w:numPr>
        <w:spacing w:after="0" w:line="240" w:lineRule="auto"/>
        <w:ind w:left="714" w:hanging="357"/>
        <w:jc w:val="both"/>
        <w:rPr>
          <w:rFonts w:ascii="Arial Narrow" w:hAnsi="Arial Narrow"/>
        </w:rPr>
      </w:pPr>
      <w:r w:rsidRPr="00814C47">
        <w:rPr>
          <w:rFonts w:ascii="Arial Narrow" w:hAnsi="Arial Narrow"/>
          <w:b/>
        </w:rPr>
        <w:t>Costos y gastos de operación</w:t>
      </w:r>
      <w:r w:rsidRPr="00814C47">
        <w:rPr>
          <w:rFonts w:ascii="Arial Narrow" w:hAnsi="Arial Narrow"/>
        </w:rPr>
        <w:t xml:space="preserve">: Remuneraciones, Materiales, Servicios, Combustible, Compras de energía, </w:t>
      </w:r>
      <w:r w:rsidRPr="00D27D18">
        <w:rPr>
          <w:rFonts w:ascii="Arial Narrow" w:hAnsi="Arial Narrow"/>
        </w:rPr>
        <w:t>otros que tengan relación con la prestación de estas tareas.</w:t>
      </w:r>
    </w:p>
    <w:p w:rsidR="005937A1" w:rsidRPr="00D27D18" w:rsidRDefault="005937A1" w:rsidP="0036279F">
      <w:pPr>
        <w:numPr>
          <w:ilvl w:val="0"/>
          <w:numId w:val="6"/>
        </w:numPr>
        <w:spacing w:after="0" w:line="240" w:lineRule="auto"/>
        <w:ind w:left="714" w:hanging="357"/>
        <w:jc w:val="both"/>
        <w:rPr>
          <w:rFonts w:ascii="Arial Narrow" w:hAnsi="Arial Narrow"/>
        </w:rPr>
      </w:pPr>
      <w:r w:rsidRPr="00D27D18">
        <w:rPr>
          <w:rFonts w:ascii="Arial Narrow" w:hAnsi="Arial Narrow"/>
          <w:b/>
        </w:rPr>
        <w:t>Gastos administrativos</w:t>
      </w:r>
      <w:r w:rsidR="00AF5E05">
        <w:rPr>
          <w:rFonts w:ascii="Arial Narrow" w:hAnsi="Arial Narrow"/>
          <w:b/>
        </w:rPr>
        <w:t>:</w:t>
      </w:r>
      <w:r w:rsidRPr="00D27D18">
        <w:rPr>
          <w:rFonts w:ascii="Arial Narrow" w:hAnsi="Arial Narrow"/>
          <w:b/>
        </w:rPr>
        <w:t xml:space="preserve"> </w:t>
      </w:r>
      <w:r w:rsidRPr="00D27D18">
        <w:rPr>
          <w:rFonts w:ascii="Arial Narrow" w:hAnsi="Arial Narrow"/>
        </w:rPr>
        <w:t>Remuneraciones, Materiales, Servicios, otros que tengan relación con la prestación de estas tareas</w:t>
      </w:r>
      <w:r w:rsidR="00F77D9A" w:rsidRPr="00D27D18">
        <w:rPr>
          <w:rFonts w:ascii="Arial Narrow" w:hAnsi="Arial Narrow"/>
        </w:rPr>
        <w:t>.</w:t>
      </w:r>
    </w:p>
    <w:p w:rsidR="005937A1" w:rsidRPr="00814C47" w:rsidRDefault="00AF5E05" w:rsidP="0036279F">
      <w:pPr>
        <w:numPr>
          <w:ilvl w:val="0"/>
          <w:numId w:val="6"/>
        </w:numPr>
        <w:spacing w:after="0" w:line="240" w:lineRule="auto"/>
        <w:ind w:left="714" w:hanging="357"/>
        <w:jc w:val="both"/>
        <w:rPr>
          <w:rFonts w:ascii="Arial Narrow" w:hAnsi="Arial Narrow"/>
        </w:rPr>
      </w:pPr>
      <w:r>
        <w:rPr>
          <w:rFonts w:ascii="Arial Narrow" w:hAnsi="Arial Narrow"/>
          <w:b/>
        </w:rPr>
        <w:t xml:space="preserve">Otras </w:t>
      </w:r>
      <w:r w:rsidR="005937A1" w:rsidRPr="00814C47">
        <w:rPr>
          <w:rFonts w:ascii="Arial Narrow" w:hAnsi="Arial Narrow"/>
          <w:b/>
        </w:rPr>
        <w:t>obligaciones laborales</w:t>
      </w:r>
      <w:r w:rsidR="00F77D9A">
        <w:rPr>
          <w:rFonts w:ascii="Arial Narrow" w:hAnsi="Arial Narrow"/>
        </w:rPr>
        <w:t>.</w:t>
      </w:r>
    </w:p>
    <w:p w:rsidR="005937A1" w:rsidRPr="00814C47" w:rsidRDefault="005937A1" w:rsidP="0036279F">
      <w:pPr>
        <w:numPr>
          <w:ilvl w:val="0"/>
          <w:numId w:val="6"/>
        </w:numPr>
        <w:spacing w:after="0" w:line="240" w:lineRule="auto"/>
        <w:ind w:left="714" w:hanging="357"/>
        <w:jc w:val="both"/>
        <w:rPr>
          <w:rFonts w:ascii="Arial Narrow" w:hAnsi="Arial Narrow"/>
        </w:rPr>
      </w:pPr>
      <w:r w:rsidRPr="00814C47">
        <w:rPr>
          <w:rFonts w:ascii="Arial Narrow" w:hAnsi="Arial Narrow"/>
          <w:b/>
        </w:rPr>
        <w:t>Depreciaciones</w:t>
      </w:r>
      <w:r w:rsidR="006D5CE4">
        <w:rPr>
          <w:rFonts w:ascii="Arial Narrow" w:hAnsi="Arial Narrow"/>
          <w:b/>
        </w:rPr>
        <w:t>,</w:t>
      </w:r>
      <w:r w:rsidR="006D5CE4">
        <w:rPr>
          <w:rFonts w:ascii="Arial Narrow" w:hAnsi="Arial Narrow"/>
        </w:rPr>
        <w:t xml:space="preserve"> </w:t>
      </w:r>
      <w:r w:rsidRPr="00814C47">
        <w:rPr>
          <w:rFonts w:ascii="Arial Narrow" w:hAnsi="Arial Narrow"/>
        </w:rPr>
        <w:t xml:space="preserve">de </w:t>
      </w:r>
      <w:r w:rsidR="006D5CE4">
        <w:rPr>
          <w:rFonts w:ascii="Arial Narrow" w:hAnsi="Arial Narrow"/>
        </w:rPr>
        <w:t>los activos fijos</w:t>
      </w:r>
      <w:r w:rsidR="00F77D9A">
        <w:rPr>
          <w:rFonts w:ascii="Arial Narrow" w:hAnsi="Arial Narrow"/>
        </w:rPr>
        <w:t>.</w:t>
      </w:r>
    </w:p>
    <w:p w:rsidR="005937A1" w:rsidRDefault="005937A1" w:rsidP="0036279F">
      <w:pPr>
        <w:numPr>
          <w:ilvl w:val="0"/>
          <w:numId w:val="6"/>
        </w:numPr>
        <w:spacing w:after="0" w:line="240" w:lineRule="auto"/>
        <w:ind w:left="714" w:hanging="357"/>
        <w:jc w:val="both"/>
        <w:rPr>
          <w:rFonts w:ascii="Arial Narrow" w:hAnsi="Arial Narrow"/>
        </w:rPr>
      </w:pPr>
      <w:r w:rsidRPr="00814C47">
        <w:rPr>
          <w:rFonts w:ascii="Arial Narrow" w:hAnsi="Arial Narrow"/>
          <w:b/>
        </w:rPr>
        <w:t>Costos financieros</w:t>
      </w:r>
      <w:r w:rsidR="006D5CE4">
        <w:rPr>
          <w:rFonts w:ascii="Arial Narrow" w:hAnsi="Arial Narrow"/>
          <w:b/>
        </w:rPr>
        <w:t>,</w:t>
      </w:r>
      <w:r w:rsidR="006D5CE4">
        <w:rPr>
          <w:rFonts w:ascii="Arial Narrow" w:hAnsi="Arial Narrow"/>
        </w:rPr>
        <w:t xml:space="preserve"> </w:t>
      </w:r>
      <w:r w:rsidRPr="00814C47">
        <w:rPr>
          <w:rFonts w:ascii="Arial Narrow" w:hAnsi="Arial Narrow"/>
        </w:rPr>
        <w:t xml:space="preserve">por el financiamiento asociado a la adquisición </w:t>
      </w:r>
      <w:r w:rsidR="006D5CE4">
        <w:rPr>
          <w:rFonts w:ascii="Arial Narrow" w:hAnsi="Arial Narrow"/>
        </w:rPr>
        <w:t>o construcción de activos fijos</w:t>
      </w:r>
      <w:r w:rsidR="00F77D9A">
        <w:rPr>
          <w:rFonts w:ascii="Arial Narrow" w:hAnsi="Arial Narrow"/>
        </w:rPr>
        <w:t>.</w:t>
      </w:r>
    </w:p>
    <w:p w:rsidR="00F77D9A" w:rsidRPr="00814C47" w:rsidRDefault="00F77D9A" w:rsidP="00F77D9A">
      <w:pPr>
        <w:spacing w:after="0" w:line="240" w:lineRule="auto"/>
        <w:ind w:left="714"/>
        <w:jc w:val="both"/>
        <w:rPr>
          <w:rFonts w:ascii="Arial Narrow" w:hAnsi="Arial Narrow"/>
        </w:rPr>
      </w:pPr>
    </w:p>
    <w:p w:rsidR="005937A1" w:rsidRPr="00814C47" w:rsidRDefault="001770D9" w:rsidP="00814C47">
      <w:pPr>
        <w:spacing w:line="240" w:lineRule="auto"/>
        <w:jc w:val="both"/>
        <w:rPr>
          <w:rFonts w:ascii="Arial Narrow" w:hAnsi="Arial Narrow"/>
        </w:rPr>
      </w:pPr>
      <w:r>
        <w:rPr>
          <w:rFonts w:ascii="Arial Narrow" w:hAnsi="Arial Narrow"/>
        </w:rPr>
        <w:t>P</w:t>
      </w:r>
      <w:r w:rsidR="001F157A">
        <w:rPr>
          <w:rFonts w:ascii="Arial Narrow" w:hAnsi="Arial Narrow"/>
        </w:rPr>
        <w:t>ara agrupar estos</w:t>
      </w:r>
      <w:r w:rsidR="000242AA" w:rsidRPr="00814C47">
        <w:rPr>
          <w:rFonts w:ascii="Arial Narrow" w:hAnsi="Arial Narrow"/>
        </w:rPr>
        <w:t xml:space="preserve"> costos </w:t>
      </w:r>
      <w:r w:rsidR="00806B8E">
        <w:rPr>
          <w:rFonts w:ascii="Arial Narrow" w:hAnsi="Arial Narrow"/>
        </w:rPr>
        <w:t>se utilizó</w:t>
      </w:r>
      <w:r w:rsidR="00D81D2A">
        <w:rPr>
          <w:rFonts w:ascii="Arial Narrow" w:hAnsi="Arial Narrow"/>
        </w:rPr>
        <w:t xml:space="preserve"> la clasificación</w:t>
      </w:r>
      <w:r w:rsidR="005937A1" w:rsidRPr="00814C47">
        <w:rPr>
          <w:rFonts w:ascii="Arial Narrow" w:hAnsi="Arial Narrow"/>
        </w:rPr>
        <w:t xml:space="preserve"> co</w:t>
      </w:r>
      <w:r w:rsidR="00D81D2A">
        <w:rPr>
          <w:rFonts w:ascii="Arial Narrow" w:hAnsi="Arial Narrow"/>
        </w:rPr>
        <w:t>n la</w:t>
      </w:r>
      <w:r w:rsidR="005937A1" w:rsidRPr="00814C47">
        <w:rPr>
          <w:rFonts w:ascii="Arial Narrow" w:hAnsi="Arial Narrow"/>
        </w:rPr>
        <w:t xml:space="preserve"> que </w:t>
      </w:r>
      <w:r w:rsidR="00806B8E">
        <w:rPr>
          <w:rFonts w:ascii="Arial Narrow" w:hAnsi="Arial Narrow"/>
        </w:rPr>
        <w:t>trabaja usualmente</w:t>
      </w:r>
      <w:r w:rsidR="000242AA" w:rsidRPr="00814C47">
        <w:rPr>
          <w:rFonts w:ascii="Arial Narrow" w:hAnsi="Arial Narrow"/>
        </w:rPr>
        <w:t xml:space="preserve"> CFE</w:t>
      </w:r>
      <w:r w:rsidR="00D81D2A">
        <w:rPr>
          <w:rFonts w:ascii="Arial Narrow" w:hAnsi="Arial Narrow"/>
        </w:rPr>
        <w:t>:</w:t>
      </w:r>
    </w:p>
    <w:p w:rsidR="005937A1" w:rsidRPr="00814C47" w:rsidRDefault="005937A1" w:rsidP="0036279F">
      <w:pPr>
        <w:numPr>
          <w:ilvl w:val="0"/>
          <w:numId w:val="8"/>
        </w:numPr>
        <w:spacing w:before="100" w:beforeAutospacing="1" w:after="0" w:line="240" w:lineRule="auto"/>
        <w:ind w:left="714" w:hanging="357"/>
        <w:jc w:val="both"/>
        <w:rPr>
          <w:rFonts w:ascii="Arial Narrow" w:hAnsi="Arial Narrow"/>
        </w:rPr>
      </w:pPr>
      <w:r w:rsidRPr="00814C47">
        <w:rPr>
          <w:rFonts w:ascii="Arial Narrow" w:hAnsi="Arial Narrow"/>
        </w:rPr>
        <w:t>Costos de explotación</w:t>
      </w:r>
    </w:p>
    <w:p w:rsidR="00F71012" w:rsidRDefault="005937A1" w:rsidP="0036279F">
      <w:pPr>
        <w:numPr>
          <w:ilvl w:val="0"/>
          <w:numId w:val="8"/>
        </w:numPr>
        <w:spacing w:before="100" w:beforeAutospacing="1" w:after="0" w:line="240" w:lineRule="auto"/>
        <w:ind w:left="714" w:hanging="357"/>
        <w:jc w:val="both"/>
        <w:rPr>
          <w:rFonts w:ascii="Arial Narrow" w:hAnsi="Arial Narrow"/>
        </w:rPr>
      </w:pPr>
      <w:r w:rsidRPr="00814C47">
        <w:rPr>
          <w:rFonts w:ascii="Arial Narrow" w:hAnsi="Arial Narrow"/>
        </w:rPr>
        <w:t>Costos de Capital</w:t>
      </w:r>
    </w:p>
    <w:p w:rsidR="001770D9" w:rsidRDefault="001770D9" w:rsidP="00814C47">
      <w:pPr>
        <w:spacing w:line="240" w:lineRule="auto"/>
        <w:jc w:val="both"/>
        <w:rPr>
          <w:rFonts w:ascii="Arial Narrow" w:hAnsi="Arial Narrow"/>
        </w:rPr>
      </w:pPr>
    </w:p>
    <w:p w:rsidR="000242AA" w:rsidRPr="00814C47" w:rsidRDefault="005937A1" w:rsidP="00814C47">
      <w:pPr>
        <w:spacing w:line="240" w:lineRule="auto"/>
        <w:jc w:val="both"/>
        <w:rPr>
          <w:rFonts w:ascii="Arial Narrow" w:hAnsi="Arial Narrow"/>
        </w:rPr>
      </w:pPr>
      <w:r w:rsidRPr="00814C47">
        <w:rPr>
          <w:rFonts w:ascii="Arial Narrow" w:hAnsi="Arial Narrow"/>
        </w:rPr>
        <w:t>En el primero de ellos se incluirán los costos operativos product</w:t>
      </w:r>
      <w:r w:rsidR="001F157A">
        <w:rPr>
          <w:rFonts w:ascii="Arial Narrow" w:hAnsi="Arial Narrow"/>
        </w:rPr>
        <w:t xml:space="preserve">o de la prestación del servicio, </w:t>
      </w:r>
      <w:r w:rsidRPr="00814C47">
        <w:rPr>
          <w:rFonts w:ascii="Arial Narrow" w:hAnsi="Arial Narrow"/>
        </w:rPr>
        <w:t>mientras que en el segundo concepto se incluirán aquellos costos que estén asociados a los activos que se utilizan para la prestación del servicio.</w:t>
      </w:r>
    </w:p>
    <w:p w:rsidR="00C779B3" w:rsidRPr="00C779B3" w:rsidRDefault="00D6365C" w:rsidP="00C779B3">
      <w:pPr>
        <w:pStyle w:val="Prrafodelista"/>
        <w:keepNext/>
        <w:keepLines/>
        <w:numPr>
          <w:ilvl w:val="1"/>
          <w:numId w:val="15"/>
        </w:numPr>
        <w:spacing w:after="0" w:line="240" w:lineRule="auto"/>
        <w:ind w:hanging="644"/>
        <w:jc w:val="both"/>
        <w:outlineLvl w:val="0"/>
        <w:rPr>
          <w:rFonts w:ascii="Arial Narrow" w:eastAsiaTheme="majorEastAsia" w:hAnsi="Arial Narrow" w:cstheme="majorBidi"/>
          <w:b/>
          <w:bCs/>
          <w:color w:val="000000" w:themeColor="text1"/>
        </w:rPr>
      </w:pPr>
      <w:r w:rsidRPr="00C779B3">
        <w:rPr>
          <w:rFonts w:ascii="Arial Narrow" w:eastAsiaTheme="majorEastAsia" w:hAnsi="Arial Narrow" w:cstheme="majorBidi"/>
          <w:b/>
          <w:bCs/>
          <w:color w:val="000000" w:themeColor="text1"/>
        </w:rPr>
        <w:t>Cos</w:t>
      </w:r>
      <w:r w:rsidR="00966923" w:rsidRPr="00C779B3">
        <w:rPr>
          <w:rFonts w:ascii="Arial Narrow" w:eastAsiaTheme="majorEastAsia" w:hAnsi="Arial Narrow" w:cstheme="majorBidi"/>
          <w:b/>
          <w:bCs/>
          <w:color w:val="000000" w:themeColor="text1"/>
        </w:rPr>
        <w:t xml:space="preserve">tos de explotación </w:t>
      </w:r>
    </w:p>
    <w:p w:rsidR="00124D4B" w:rsidRPr="00814C47" w:rsidRDefault="00124D4B" w:rsidP="001F157A">
      <w:pPr>
        <w:spacing w:after="200" w:line="240" w:lineRule="auto"/>
        <w:contextualSpacing/>
        <w:jc w:val="both"/>
        <w:rPr>
          <w:rFonts w:ascii="Arial Narrow" w:hAnsi="Arial Narrow"/>
          <w:b/>
        </w:rPr>
      </w:pPr>
    </w:p>
    <w:p w:rsidR="00ED0D59" w:rsidRPr="00814C47" w:rsidRDefault="00124D4B" w:rsidP="00814C47">
      <w:pPr>
        <w:spacing w:after="200" w:line="240" w:lineRule="auto"/>
        <w:contextualSpacing/>
        <w:jc w:val="both"/>
        <w:rPr>
          <w:rFonts w:ascii="Arial Narrow" w:hAnsi="Arial Narrow" w:cs="Arial"/>
        </w:rPr>
      </w:pPr>
      <w:r w:rsidRPr="00814C47">
        <w:rPr>
          <w:rFonts w:ascii="Arial Narrow" w:hAnsi="Arial Narrow" w:cs="Arial"/>
        </w:rPr>
        <w:t>En la información proporcionada a la Comisión, la CFE presenta los costos de explotación desglosados por función; es decir, sepa</w:t>
      </w:r>
      <w:r w:rsidR="001F157A">
        <w:rPr>
          <w:rFonts w:ascii="Arial Narrow" w:hAnsi="Arial Narrow" w:cs="Arial"/>
        </w:rPr>
        <w:t xml:space="preserve">rados por costos asociados a la </w:t>
      </w:r>
      <w:r w:rsidR="00806B8E">
        <w:rPr>
          <w:rFonts w:ascii="Arial Narrow" w:hAnsi="Arial Narrow" w:cs="Arial"/>
        </w:rPr>
        <w:t>Generación, Transmisión, Distribución, Comercialización y S</w:t>
      </w:r>
      <w:r w:rsidRPr="00814C47">
        <w:rPr>
          <w:rFonts w:ascii="Arial Narrow" w:hAnsi="Arial Narrow" w:cs="Arial"/>
        </w:rPr>
        <w:t>ervicios administrativos.</w:t>
      </w:r>
      <w:r w:rsidR="009C41AE" w:rsidRPr="00814C47">
        <w:rPr>
          <w:rFonts w:ascii="Arial Narrow" w:hAnsi="Arial Narrow" w:cs="Arial"/>
        </w:rPr>
        <w:t xml:space="preserve"> D</w:t>
      </w:r>
      <w:r w:rsidR="00ED0D59" w:rsidRPr="00814C47">
        <w:rPr>
          <w:rFonts w:ascii="Arial Narrow" w:hAnsi="Arial Narrow" w:cs="Arial"/>
        </w:rPr>
        <w:t xml:space="preserve">e los costos de explotación asociados a los distintos procesos mencionados, la </w:t>
      </w:r>
      <w:r w:rsidR="00ED0D59" w:rsidRPr="00814C47">
        <w:rPr>
          <w:rFonts w:ascii="Arial Narrow" w:hAnsi="Arial Narrow" w:cs="Arial"/>
        </w:rPr>
        <w:lastRenderedPageBreak/>
        <w:t>Comisión solo tomó en c</w:t>
      </w:r>
      <w:r w:rsidR="00022A87">
        <w:rPr>
          <w:rFonts w:ascii="Arial Narrow" w:hAnsi="Arial Narrow" w:cs="Arial"/>
        </w:rPr>
        <w:t>uenta aquellos costos asociados</w:t>
      </w:r>
      <w:r w:rsidR="00ED0D59" w:rsidRPr="00814C47">
        <w:rPr>
          <w:rFonts w:ascii="Arial Narrow" w:hAnsi="Arial Narrow" w:cs="Arial"/>
        </w:rPr>
        <w:t xml:space="preserve"> a la pres</w:t>
      </w:r>
      <w:r w:rsidR="00806B8E">
        <w:rPr>
          <w:rFonts w:ascii="Arial Narrow" w:hAnsi="Arial Narrow" w:cs="Arial"/>
        </w:rPr>
        <w:t>tación del servicio público de D</w:t>
      </w:r>
      <w:r w:rsidR="00ED0D59" w:rsidRPr="00814C47">
        <w:rPr>
          <w:rFonts w:ascii="Arial Narrow" w:hAnsi="Arial Narrow" w:cs="Arial"/>
        </w:rPr>
        <w:t>istribución</w:t>
      </w:r>
      <w:r w:rsidR="00EF6DDC" w:rsidRPr="00814C47">
        <w:rPr>
          <w:rFonts w:ascii="Arial Narrow" w:hAnsi="Arial Narrow" w:cs="Arial"/>
        </w:rPr>
        <w:t xml:space="preserve"> eléctrica para </w:t>
      </w:r>
      <w:r w:rsidR="00ED0D59" w:rsidRPr="00814C47">
        <w:rPr>
          <w:rFonts w:ascii="Arial Narrow" w:hAnsi="Arial Narrow" w:cs="Arial"/>
        </w:rPr>
        <w:t>el cálculo de la tarifa</w:t>
      </w:r>
      <w:r w:rsidR="00AF5E05">
        <w:rPr>
          <w:rFonts w:ascii="Arial Narrow" w:hAnsi="Arial Narrow" w:cs="Arial"/>
        </w:rPr>
        <w:t>.</w:t>
      </w:r>
    </w:p>
    <w:p w:rsidR="009C41AE" w:rsidRPr="00814C47" w:rsidRDefault="009C41AE" w:rsidP="00814C47">
      <w:pPr>
        <w:spacing w:after="200" w:line="240" w:lineRule="auto"/>
        <w:contextualSpacing/>
        <w:jc w:val="both"/>
        <w:rPr>
          <w:rFonts w:ascii="Arial Narrow" w:hAnsi="Arial Narrow" w:cs="Arial"/>
        </w:rPr>
      </w:pPr>
    </w:p>
    <w:p w:rsidR="00EF6DDC" w:rsidRPr="00814C47" w:rsidRDefault="009C41AE" w:rsidP="00814C47">
      <w:pPr>
        <w:spacing w:after="200" w:line="240" w:lineRule="auto"/>
        <w:contextualSpacing/>
        <w:jc w:val="both"/>
        <w:rPr>
          <w:rFonts w:ascii="Arial Narrow" w:hAnsi="Arial Narrow" w:cs="Arial"/>
        </w:rPr>
      </w:pPr>
      <w:r w:rsidRPr="00806B8E">
        <w:rPr>
          <w:rFonts w:ascii="Arial Narrow" w:hAnsi="Arial Narrow" w:cs="Arial"/>
        </w:rPr>
        <w:t xml:space="preserve">De acuerdo </w:t>
      </w:r>
      <w:r w:rsidR="00AF5E05">
        <w:rPr>
          <w:rFonts w:ascii="Arial Narrow" w:hAnsi="Arial Narrow" w:cs="Arial"/>
        </w:rPr>
        <w:t>con</w:t>
      </w:r>
      <w:r w:rsidRPr="00806B8E">
        <w:rPr>
          <w:rFonts w:ascii="Arial Narrow" w:hAnsi="Arial Narrow" w:cs="Arial"/>
        </w:rPr>
        <w:t xml:space="preserve"> l</w:t>
      </w:r>
      <w:r w:rsidR="001F157A" w:rsidRPr="00806B8E">
        <w:rPr>
          <w:rFonts w:ascii="Arial Narrow" w:hAnsi="Arial Narrow" w:cs="Arial"/>
        </w:rPr>
        <w:t xml:space="preserve">a información proporcionada por la </w:t>
      </w:r>
      <w:r w:rsidRPr="00806B8E">
        <w:rPr>
          <w:rFonts w:ascii="Arial Narrow" w:hAnsi="Arial Narrow" w:cs="Arial"/>
        </w:rPr>
        <w:t>CFE para el año base del estudio 2014, los costos de ex</w:t>
      </w:r>
      <w:r w:rsidR="00806B8E">
        <w:rPr>
          <w:rFonts w:ascii="Arial Narrow" w:hAnsi="Arial Narrow" w:cs="Arial"/>
        </w:rPr>
        <w:t xml:space="preserve">plotación incluyen los conceptos de </w:t>
      </w:r>
      <w:r w:rsidR="001F157A" w:rsidRPr="00806B8E">
        <w:rPr>
          <w:rFonts w:ascii="Arial Narrow" w:hAnsi="Arial Narrow" w:cs="Arial"/>
        </w:rPr>
        <w:t>costos</w:t>
      </w:r>
      <w:r w:rsidRPr="00806B8E">
        <w:rPr>
          <w:rFonts w:ascii="Arial Narrow" w:hAnsi="Arial Narrow" w:cs="Arial"/>
        </w:rPr>
        <w:t xml:space="preserve"> de operación, mantenimiento y administración (OMA), comerciales, corporativos,</w:t>
      </w:r>
      <w:r w:rsidR="001F157A" w:rsidRPr="00806B8E">
        <w:rPr>
          <w:rFonts w:ascii="Arial Narrow" w:hAnsi="Arial Narrow" w:cs="Arial"/>
        </w:rPr>
        <w:t xml:space="preserve"> costos financieros e impuestos. </w:t>
      </w:r>
      <w:r w:rsidR="00806B8E">
        <w:rPr>
          <w:rFonts w:ascii="Arial Narrow" w:hAnsi="Arial Narrow" w:cs="Arial"/>
        </w:rPr>
        <w:t>Dado que la CFE presentó de manera conjunta información de las actividades de Distribución y Suministro, los costos de explotación fueron asignados en un 72% para D</w:t>
      </w:r>
      <w:r w:rsidRPr="00806B8E">
        <w:rPr>
          <w:rFonts w:ascii="Arial Narrow" w:hAnsi="Arial Narrow" w:cs="Arial"/>
        </w:rPr>
        <w:t>istribuc</w:t>
      </w:r>
      <w:r w:rsidR="00806B8E">
        <w:rPr>
          <w:rFonts w:ascii="Arial Narrow" w:hAnsi="Arial Narrow" w:cs="Arial"/>
        </w:rPr>
        <w:t>ión y 28% para la actividad de S</w:t>
      </w:r>
      <w:r w:rsidRPr="00806B8E">
        <w:rPr>
          <w:rFonts w:ascii="Arial Narrow" w:hAnsi="Arial Narrow" w:cs="Arial"/>
        </w:rPr>
        <w:t>uministro</w:t>
      </w:r>
      <w:r w:rsidR="00EF6DDC" w:rsidRPr="00806B8E">
        <w:rPr>
          <w:rFonts w:ascii="Arial Narrow" w:hAnsi="Arial Narrow" w:cs="Arial"/>
        </w:rPr>
        <w:t>.</w:t>
      </w:r>
      <w:r w:rsidR="00ED10E0" w:rsidRPr="00806B8E">
        <w:rPr>
          <w:rFonts w:ascii="Arial Narrow" w:hAnsi="Arial Narrow" w:cs="Arial"/>
        </w:rPr>
        <w:t xml:space="preserve"> </w:t>
      </w:r>
      <w:r w:rsidR="00ED10E0" w:rsidRPr="00806B8E">
        <w:rPr>
          <w:rFonts w:ascii="Arial Narrow" w:hAnsi="Arial Narrow"/>
        </w:rPr>
        <w:t>En l</w:t>
      </w:r>
      <w:r w:rsidR="00806B8E">
        <w:rPr>
          <w:rFonts w:ascii="Arial Narrow" w:hAnsi="Arial Narrow"/>
        </w:rPr>
        <w:t xml:space="preserve">a siguiente tabla se muestran los montos </w:t>
      </w:r>
      <w:r w:rsidR="00ED10E0" w:rsidRPr="00806B8E">
        <w:rPr>
          <w:rFonts w:ascii="Arial Narrow" w:hAnsi="Arial Narrow"/>
        </w:rPr>
        <w:t>considerad</w:t>
      </w:r>
      <w:r w:rsidR="00806B8E">
        <w:rPr>
          <w:rFonts w:ascii="Arial Narrow" w:hAnsi="Arial Narrow"/>
        </w:rPr>
        <w:t>os</w:t>
      </w:r>
      <w:r w:rsidR="00ED10E0" w:rsidRPr="00806B8E">
        <w:rPr>
          <w:rFonts w:ascii="Arial Narrow" w:hAnsi="Arial Narrow"/>
        </w:rPr>
        <w:t xml:space="preserve"> c</w:t>
      </w:r>
      <w:r w:rsidR="001F157A" w:rsidRPr="00806B8E">
        <w:rPr>
          <w:rFonts w:ascii="Arial Narrow" w:hAnsi="Arial Narrow"/>
        </w:rPr>
        <w:t>omo costo</w:t>
      </w:r>
      <w:r w:rsidR="00D81D00">
        <w:rPr>
          <w:rFonts w:ascii="Arial Narrow" w:hAnsi="Arial Narrow"/>
        </w:rPr>
        <w:t>s</w:t>
      </w:r>
      <w:r w:rsidR="001F157A" w:rsidRPr="00806B8E">
        <w:rPr>
          <w:rFonts w:ascii="Arial Narrow" w:hAnsi="Arial Narrow"/>
        </w:rPr>
        <w:t xml:space="preserve"> de</w:t>
      </w:r>
      <w:r w:rsidR="00806B8E">
        <w:rPr>
          <w:rFonts w:ascii="Arial Narrow" w:hAnsi="Arial Narrow"/>
        </w:rPr>
        <w:t xml:space="preserve"> explotación.</w:t>
      </w:r>
    </w:p>
    <w:p w:rsidR="00ED10E0" w:rsidRPr="00814C47" w:rsidRDefault="00ED10E0" w:rsidP="00814C47">
      <w:pPr>
        <w:spacing w:after="200" w:line="240" w:lineRule="auto"/>
        <w:contextualSpacing/>
        <w:jc w:val="both"/>
        <w:rPr>
          <w:rFonts w:ascii="Arial Narrow" w:hAnsi="Arial Narrow" w:cs="Arial"/>
        </w:rPr>
      </w:pPr>
    </w:p>
    <w:tbl>
      <w:tblPr>
        <w:tblpPr w:leftFromText="141" w:rightFromText="141" w:vertAnchor="text" w:horzAnchor="margin" w:tblpXSpec="center" w:tblpY="284"/>
        <w:tblW w:w="0" w:type="auto"/>
        <w:tblCellMar>
          <w:left w:w="70" w:type="dxa"/>
          <w:right w:w="70" w:type="dxa"/>
        </w:tblCellMar>
        <w:tblLook w:val="04A0" w:firstRow="1" w:lastRow="0" w:firstColumn="1" w:lastColumn="0" w:noHBand="0" w:noVBand="1"/>
      </w:tblPr>
      <w:tblGrid>
        <w:gridCol w:w="2159"/>
        <w:gridCol w:w="592"/>
      </w:tblGrid>
      <w:tr w:rsidR="00C452AB" w:rsidRPr="00D90AA3" w:rsidTr="00D90AA3">
        <w:trPr>
          <w:trHeight w:val="315"/>
        </w:trPr>
        <w:tc>
          <w:tcPr>
            <w:tcW w:w="0" w:type="auto"/>
            <w:tcBorders>
              <w:top w:val="single" w:sz="8" w:space="0" w:color="auto"/>
              <w:left w:val="single" w:sz="8" w:space="0" w:color="auto"/>
              <w:bottom w:val="single" w:sz="8" w:space="0" w:color="auto"/>
              <w:right w:val="single" w:sz="8" w:space="0" w:color="auto"/>
            </w:tcBorders>
            <w:shd w:val="clear" w:color="auto" w:fill="365F91" w:themeFill="accent1" w:themeFillShade="BF"/>
            <w:vAlign w:val="center"/>
            <w:hideMark/>
          </w:tcPr>
          <w:p w:rsidR="00C452AB" w:rsidRDefault="00FF5528" w:rsidP="00D90AA3">
            <w:pPr>
              <w:spacing w:after="0" w:line="240" w:lineRule="auto"/>
              <w:jc w:val="center"/>
              <w:rPr>
                <w:rFonts w:ascii="Arial Narrow" w:eastAsia="Times New Roman" w:hAnsi="Arial Narrow" w:cs="Times New Roman"/>
                <w:b/>
                <w:bCs/>
                <w:color w:val="FFFFFF"/>
                <w:sz w:val="18"/>
                <w:szCs w:val="20"/>
                <w:lang w:eastAsia="es-MX"/>
              </w:rPr>
            </w:pPr>
            <w:bookmarkStart w:id="2" w:name="_Ref435094707"/>
            <w:r w:rsidRPr="00D90AA3">
              <w:rPr>
                <w:rFonts w:ascii="Arial Narrow" w:eastAsia="Times New Roman" w:hAnsi="Arial Narrow" w:cs="Times New Roman"/>
                <w:b/>
                <w:bCs/>
                <w:color w:val="FFFFFF"/>
                <w:sz w:val="18"/>
                <w:szCs w:val="20"/>
                <w:lang w:eastAsia="es-MX"/>
              </w:rPr>
              <w:t>Componente</w:t>
            </w:r>
          </w:p>
          <w:p w:rsidR="00D90AA3" w:rsidRPr="00D90AA3" w:rsidRDefault="00D90AA3" w:rsidP="00D90AA3">
            <w:pPr>
              <w:spacing w:after="0" w:line="240" w:lineRule="auto"/>
              <w:jc w:val="center"/>
              <w:rPr>
                <w:rFonts w:ascii="Arial Narrow" w:eastAsia="Times New Roman" w:hAnsi="Arial Narrow" w:cs="Times New Roman"/>
                <w:b/>
                <w:bCs/>
                <w:i/>
                <w:color w:val="FFFFFF"/>
                <w:sz w:val="18"/>
                <w:szCs w:val="20"/>
                <w:lang w:eastAsia="es-MX"/>
              </w:rPr>
            </w:pPr>
            <w:r w:rsidRPr="00D90AA3">
              <w:rPr>
                <w:rFonts w:ascii="Arial Narrow" w:eastAsia="Times New Roman" w:hAnsi="Arial Narrow" w:cs="Times New Roman"/>
                <w:b/>
                <w:bCs/>
                <w:i/>
                <w:color w:val="FFFFFF"/>
                <w:sz w:val="14"/>
                <w:szCs w:val="20"/>
                <w:lang w:eastAsia="es-MX"/>
              </w:rPr>
              <w:t>(millones de pesos)</w:t>
            </w:r>
          </w:p>
        </w:tc>
        <w:tc>
          <w:tcPr>
            <w:tcW w:w="0" w:type="auto"/>
            <w:tcBorders>
              <w:top w:val="single" w:sz="8" w:space="0" w:color="auto"/>
              <w:left w:val="nil"/>
              <w:bottom w:val="single" w:sz="8" w:space="0" w:color="auto"/>
              <w:right w:val="single" w:sz="8" w:space="0" w:color="auto"/>
            </w:tcBorders>
            <w:shd w:val="clear" w:color="auto" w:fill="365F91" w:themeFill="accent1" w:themeFillShade="BF"/>
            <w:vAlign w:val="center"/>
            <w:hideMark/>
          </w:tcPr>
          <w:p w:rsidR="00C452AB" w:rsidRPr="00D90AA3" w:rsidRDefault="00D90AA3" w:rsidP="00D90AA3">
            <w:pPr>
              <w:spacing w:after="0" w:line="240" w:lineRule="auto"/>
              <w:jc w:val="center"/>
              <w:rPr>
                <w:rFonts w:ascii="Arial Narrow" w:eastAsia="Times New Roman" w:hAnsi="Arial Narrow" w:cs="Times New Roman"/>
                <w:b/>
                <w:bCs/>
                <w:color w:val="FFFFFF"/>
                <w:sz w:val="18"/>
                <w:szCs w:val="20"/>
                <w:lang w:eastAsia="es-MX"/>
              </w:rPr>
            </w:pPr>
            <w:r>
              <w:rPr>
                <w:rFonts w:ascii="Arial Narrow" w:eastAsia="Times New Roman" w:hAnsi="Arial Narrow" w:cs="Times New Roman"/>
                <w:b/>
                <w:bCs/>
                <w:color w:val="FFFFFF"/>
                <w:sz w:val="18"/>
                <w:szCs w:val="20"/>
                <w:lang w:eastAsia="es-MX"/>
              </w:rPr>
              <w:t>Monto</w:t>
            </w:r>
          </w:p>
        </w:tc>
      </w:tr>
      <w:tr w:rsidR="00C452AB" w:rsidRPr="00D90AA3" w:rsidTr="00D90AA3">
        <w:trPr>
          <w:trHeight w:val="300"/>
        </w:trPr>
        <w:tc>
          <w:tcPr>
            <w:tcW w:w="0" w:type="auto"/>
            <w:tcBorders>
              <w:top w:val="nil"/>
              <w:left w:val="single" w:sz="8" w:space="0" w:color="auto"/>
              <w:bottom w:val="nil"/>
              <w:right w:val="single" w:sz="8" w:space="0" w:color="auto"/>
            </w:tcBorders>
            <w:shd w:val="clear" w:color="auto" w:fill="auto"/>
            <w:noWrap/>
            <w:vAlign w:val="center"/>
            <w:hideMark/>
          </w:tcPr>
          <w:p w:rsidR="00C452AB" w:rsidRPr="00D90AA3" w:rsidRDefault="00C452AB" w:rsidP="00F77D9A">
            <w:pPr>
              <w:spacing w:after="0" w:line="240" w:lineRule="auto"/>
              <w:jc w:val="center"/>
              <w:rPr>
                <w:rFonts w:ascii="Arial Narrow" w:eastAsia="Times New Roman" w:hAnsi="Arial Narrow" w:cs="Times New Roman"/>
                <w:color w:val="000000"/>
                <w:sz w:val="18"/>
                <w:szCs w:val="20"/>
                <w:lang w:eastAsia="es-MX"/>
              </w:rPr>
            </w:pPr>
            <w:r w:rsidRPr="00D90AA3">
              <w:rPr>
                <w:rFonts w:ascii="Arial Narrow" w:eastAsia="Times New Roman" w:hAnsi="Arial Narrow" w:cs="Times New Roman"/>
                <w:color w:val="000000"/>
                <w:sz w:val="18"/>
                <w:szCs w:val="20"/>
                <w:lang w:eastAsia="es-MX"/>
              </w:rPr>
              <w:t>O&amp;M Y Costos Administrativos</w:t>
            </w:r>
          </w:p>
        </w:tc>
        <w:tc>
          <w:tcPr>
            <w:tcW w:w="0" w:type="auto"/>
            <w:tcBorders>
              <w:top w:val="nil"/>
              <w:left w:val="nil"/>
              <w:bottom w:val="nil"/>
              <w:right w:val="single" w:sz="8" w:space="0" w:color="auto"/>
            </w:tcBorders>
            <w:shd w:val="clear" w:color="auto" w:fill="auto"/>
            <w:vAlign w:val="center"/>
            <w:hideMark/>
          </w:tcPr>
          <w:p w:rsidR="00C452AB" w:rsidRPr="00D90AA3" w:rsidRDefault="00C452AB" w:rsidP="00F77D9A">
            <w:pPr>
              <w:spacing w:after="0" w:line="240" w:lineRule="auto"/>
              <w:ind w:left="708" w:hanging="708"/>
              <w:jc w:val="center"/>
              <w:rPr>
                <w:rFonts w:ascii="Arial Narrow" w:eastAsia="Times New Roman" w:hAnsi="Arial Narrow" w:cs="Times New Roman"/>
                <w:color w:val="000000"/>
                <w:sz w:val="18"/>
                <w:szCs w:val="20"/>
                <w:lang w:eastAsia="es-MX"/>
              </w:rPr>
            </w:pPr>
            <w:r w:rsidRPr="00D90AA3">
              <w:rPr>
                <w:rFonts w:ascii="Arial Narrow" w:eastAsia="Times New Roman" w:hAnsi="Arial Narrow" w:cs="Times New Roman"/>
                <w:color w:val="000000"/>
                <w:sz w:val="18"/>
                <w:szCs w:val="20"/>
                <w:lang w:eastAsia="es-MX"/>
              </w:rPr>
              <w:t>34,919</w:t>
            </w:r>
          </w:p>
        </w:tc>
      </w:tr>
      <w:tr w:rsidR="00C452AB" w:rsidRPr="00D90AA3" w:rsidTr="00D90AA3">
        <w:trPr>
          <w:trHeight w:val="300"/>
        </w:trPr>
        <w:tc>
          <w:tcPr>
            <w:tcW w:w="0" w:type="auto"/>
            <w:tcBorders>
              <w:top w:val="nil"/>
              <w:left w:val="single" w:sz="8" w:space="0" w:color="auto"/>
              <w:bottom w:val="nil"/>
              <w:right w:val="single" w:sz="8" w:space="0" w:color="auto"/>
            </w:tcBorders>
            <w:shd w:val="clear" w:color="auto" w:fill="auto"/>
            <w:noWrap/>
            <w:vAlign w:val="center"/>
            <w:hideMark/>
          </w:tcPr>
          <w:p w:rsidR="00C452AB" w:rsidRPr="00D90AA3" w:rsidRDefault="00C452AB" w:rsidP="00F77D9A">
            <w:pPr>
              <w:spacing w:after="0" w:line="240" w:lineRule="auto"/>
              <w:jc w:val="center"/>
              <w:rPr>
                <w:rFonts w:ascii="Arial Narrow" w:eastAsia="Times New Roman" w:hAnsi="Arial Narrow" w:cs="Times New Roman"/>
                <w:color w:val="000000"/>
                <w:sz w:val="18"/>
                <w:szCs w:val="20"/>
                <w:lang w:eastAsia="es-MX"/>
              </w:rPr>
            </w:pPr>
            <w:r w:rsidRPr="00D90AA3">
              <w:rPr>
                <w:rFonts w:ascii="Arial Narrow" w:eastAsia="Times New Roman" w:hAnsi="Arial Narrow" w:cs="Times New Roman"/>
                <w:color w:val="000000"/>
                <w:sz w:val="18"/>
                <w:szCs w:val="20"/>
                <w:lang w:eastAsia="es-MX"/>
              </w:rPr>
              <w:t>Costos corporativos</w:t>
            </w:r>
          </w:p>
        </w:tc>
        <w:tc>
          <w:tcPr>
            <w:tcW w:w="0" w:type="auto"/>
            <w:tcBorders>
              <w:top w:val="nil"/>
              <w:left w:val="nil"/>
              <w:bottom w:val="nil"/>
              <w:right w:val="single" w:sz="8" w:space="0" w:color="auto"/>
            </w:tcBorders>
            <w:shd w:val="clear" w:color="auto" w:fill="auto"/>
            <w:vAlign w:val="center"/>
            <w:hideMark/>
          </w:tcPr>
          <w:p w:rsidR="00C452AB" w:rsidRPr="00D90AA3" w:rsidRDefault="00C452AB" w:rsidP="004C4EC5">
            <w:pPr>
              <w:spacing w:after="0" w:line="240" w:lineRule="auto"/>
              <w:ind w:left="708" w:hanging="708"/>
              <w:jc w:val="center"/>
              <w:rPr>
                <w:rFonts w:ascii="Arial Narrow" w:eastAsia="Times New Roman" w:hAnsi="Arial Narrow" w:cs="Times New Roman"/>
                <w:color w:val="000000"/>
                <w:sz w:val="18"/>
                <w:szCs w:val="20"/>
                <w:lang w:eastAsia="es-MX"/>
              </w:rPr>
            </w:pPr>
            <w:r w:rsidRPr="00D90AA3">
              <w:rPr>
                <w:rFonts w:ascii="Arial Narrow" w:eastAsia="Times New Roman" w:hAnsi="Arial Narrow" w:cs="Times New Roman"/>
                <w:color w:val="000000"/>
                <w:sz w:val="18"/>
                <w:szCs w:val="20"/>
                <w:lang w:eastAsia="es-MX"/>
              </w:rPr>
              <w:t>4,447</w:t>
            </w:r>
          </w:p>
        </w:tc>
      </w:tr>
      <w:tr w:rsidR="00C452AB" w:rsidRPr="00D90AA3" w:rsidTr="007B6F5C">
        <w:trPr>
          <w:trHeight w:val="30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C452AB" w:rsidRPr="00D90AA3" w:rsidRDefault="00C452AB" w:rsidP="00F77D9A">
            <w:pPr>
              <w:spacing w:after="0" w:line="240" w:lineRule="auto"/>
              <w:jc w:val="center"/>
              <w:rPr>
                <w:rFonts w:ascii="Arial Narrow" w:eastAsia="Times New Roman" w:hAnsi="Arial Narrow" w:cs="Times New Roman"/>
                <w:color w:val="000000"/>
                <w:sz w:val="18"/>
                <w:szCs w:val="20"/>
                <w:lang w:eastAsia="es-MX"/>
              </w:rPr>
            </w:pPr>
            <w:r w:rsidRPr="00D90AA3">
              <w:rPr>
                <w:rFonts w:ascii="Arial Narrow" w:eastAsia="Times New Roman" w:hAnsi="Arial Narrow" w:cs="Times New Roman"/>
                <w:color w:val="000000"/>
                <w:sz w:val="18"/>
                <w:szCs w:val="20"/>
                <w:lang w:eastAsia="es-MX"/>
              </w:rPr>
              <w:t>Pasivo laboral</w:t>
            </w:r>
          </w:p>
        </w:tc>
        <w:tc>
          <w:tcPr>
            <w:tcW w:w="0" w:type="auto"/>
            <w:tcBorders>
              <w:top w:val="nil"/>
              <w:left w:val="nil"/>
              <w:bottom w:val="single" w:sz="4" w:space="0" w:color="auto"/>
              <w:right w:val="single" w:sz="8" w:space="0" w:color="auto"/>
            </w:tcBorders>
            <w:shd w:val="clear" w:color="auto" w:fill="auto"/>
            <w:vAlign w:val="center"/>
            <w:hideMark/>
          </w:tcPr>
          <w:p w:rsidR="00C452AB" w:rsidRPr="00D90AA3" w:rsidRDefault="00C452AB" w:rsidP="004C4EC5">
            <w:pPr>
              <w:spacing w:after="0" w:line="240" w:lineRule="auto"/>
              <w:ind w:left="708" w:hanging="708"/>
              <w:jc w:val="center"/>
              <w:rPr>
                <w:rFonts w:ascii="Arial Narrow" w:eastAsia="Times New Roman" w:hAnsi="Arial Narrow" w:cs="Times New Roman"/>
                <w:color w:val="000000"/>
                <w:sz w:val="18"/>
                <w:szCs w:val="20"/>
                <w:lang w:eastAsia="es-MX"/>
              </w:rPr>
            </w:pPr>
            <w:r w:rsidRPr="00D90AA3">
              <w:rPr>
                <w:rFonts w:ascii="Arial Narrow" w:eastAsia="Times New Roman" w:hAnsi="Arial Narrow" w:cs="Times New Roman"/>
                <w:color w:val="000000"/>
                <w:sz w:val="18"/>
                <w:szCs w:val="20"/>
                <w:lang w:eastAsia="es-MX"/>
              </w:rPr>
              <w:t>18,18</w:t>
            </w:r>
            <w:r w:rsidR="004C4EC5">
              <w:rPr>
                <w:rFonts w:ascii="Arial Narrow" w:eastAsia="Times New Roman" w:hAnsi="Arial Narrow" w:cs="Times New Roman"/>
                <w:color w:val="000000"/>
                <w:sz w:val="18"/>
                <w:szCs w:val="20"/>
                <w:lang w:eastAsia="es-MX"/>
              </w:rPr>
              <w:t>9</w:t>
            </w:r>
          </w:p>
        </w:tc>
      </w:tr>
      <w:tr w:rsidR="00C452AB" w:rsidRPr="00D90AA3" w:rsidTr="007B6F5C">
        <w:trPr>
          <w:trHeight w:val="315"/>
        </w:trPr>
        <w:tc>
          <w:tcPr>
            <w:tcW w:w="0" w:type="auto"/>
            <w:tcBorders>
              <w:top w:val="single" w:sz="4" w:space="0" w:color="auto"/>
              <w:left w:val="single" w:sz="4" w:space="0" w:color="auto"/>
              <w:bottom w:val="single" w:sz="4" w:space="0" w:color="auto"/>
              <w:right w:val="single" w:sz="8" w:space="0" w:color="auto"/>
            </w:tcBorders>
            <w:shd w:val="clear" w:color="auto" w:fill="auto"/>
            <w:vAlign w:val="center"/>
            <w:hideMark/>
          </w:tcPr>
          <w:p w:rsidR="00C452AB" w:rsidRPr="00D90AA3" w:rsidRDefault="00C452AB" w:rsidP="00F77D9A">
            <w:pPr>
              <w:spacing w:after="0" w:line="240" w:lineRule="auto"/>
              <w:jc w:val="center"/>
              <w:rPr>
                <w:rFonts w:ascii="Arial Narrow" w:eastAsia="Times New Roman" w:hAnsi="Arial Narrow" w:cs="Times New Roman"/>
                <w:b/>
                <w:bCs/>
                <w:color w:val="000000"/>
                <w:sz w:val="18"/>
                <w:szCs w:val="20"/>
                <w:lang w:eastAsia="es-MX"/>
              </w:rPr>
            </w:pPr>
            <w:r w:rsidRPr="00D90AA3">
              <w:rPr>
                <w:rFonts w:ascii="Arial Narrow" w:eastAsia="Times New Roman" w:hAnsi="Arial Narrow" w:cs="Times New Roman"/>
                <w:b/>
                <w:bCs/>
                <w:color w:val="000000"/>
                <w:sz w:val="18"/>
                <w:szCs w:val="20"/>
                <w:lang w:eastAsia="es-MX"/>
              </w:rPr>
              <w:t>Costo total de explotación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452AB" w:rsidRPr="00D90AA3" w:rsidRDefault="00C452AB" w:rsidP="00F77D9A">
            <w:pPr>
              <w:spacing w:after="0" w:line="240" w:lineRule="auto"/>
              <w:ind w:left="708" w:hanging="708"/>
              <w:jc w:val="center"/>
              <w:rPr>
                <w:rFonts w:ascii="Arial Narrow" w:eastAsia="Times New Roman" w:hAnsi="Arial Narrow" w:cs="Times New Roman"/>
                <w:b/>
                <w:color w:val="000000"/>
                <w:sz w:val="18"/>
                <w:szCs w:val="20"/>
                <w:lang w:eastAsia="es-MX"/>
              </w:rPr>
            </w:pPr>
            <w:r w:rsidRPr="00D90AA3">
              <w:rPr>
                <w:rFonts w:ascii="Arial Narrow" w:eastAsia="Times New Roman" w:hAnsi="Arial Narrow" w:cs="Times New Roman"/>
                <w:b/>
                <w:color w:val="000000"/>
                <w:sz w:val="18"/>
                <w:szCs w:val="20"/>
                <w:lang w:eastAsia="es-MX"/>
              </w:rPr>
              <w:t>57,555</w:t>
            </w:r>
          </w:p>
        </w:tc>
      </w:tr>
    </w:tbl>
    <w:p w:rsidR="00BA6EEC" w:rsidRPr="00BA6EEC" w:rsidRDefault="00A40277" w:rsidP="00BA6EEC">
      <w:pPr>
        <w:pStyle w:val="Descripcin"/>
        <w:jc w:val="center"/>
        <w:rPr>
          <w:sz w:val="20"/>
          <w:szCs w:val="20"/>
        </w:rPr>
      </w:pPr>
      <w:r w:rsidRPr="00F77D9A">
        <w:rPr>
          <w:sz w:val="20"/>
          <w:szCs w:val="20"/>
        </w:rPr>
        <w:t>Tabla</w:t>
      </w:r>
      <w:r w:rsidRPr="00F77D9A">
        <w:rPr>
          <w:sz w:val="20"/>
          <w:szCs w:val="20"/>
        </w:rPr>
        <w:fldChar w:fldCharType="begin"/>
      </w:r>
      <w:r w:rsidRPr="00F77D9A">
        <w:rPr>
          <w:sz w:val="20"/>
          <w:szCs w:val="20"/>
        </w:rPr>
        <w:instrText xml:space="preserve"> SEQ Tabla \* ARABIC </w:instrText>
      </w:r>
      <w:r w:rsidRPr="00F77D9A">
        <w:rPr>
          <w:sz w:val="20"/>
          <w:szCs w:val="20"/>
        </w:rPr>
        <w:fldChar w:fldCharType="separate"/>
      </w:r>
      <w:r w:rsidR="001505BF">
        <w:rPr>
          <w:noProof/>
          <w:sz w:val="20"/>
          <w:szCs w:val="20"/>
        </w:rPr>
        <w:t>1</w:t>
      </w:r>
      <w:r w:rsidRPr="00F77D9A">
        <w:rPr>
          <w:sz w:val="20"/>
          <w:szCs w:val="20"/>
        </w:rPr>
        <w:fldChar w:fldCharType="end"/>
      </w:r>
      <w:bookmarkEnd w:id="2"/>
      <w:r w:rsidR="00ED10E0" w:rsidRPr="00F77D9A">
        <w:rPr>
          <w:sz w:val="20"/>
          <w:szCs w:val="20"/>
        </w:rPr>
        <w:t xml:space="preserve">. Costos de explotación </w:t>
      </w:r>
      <w:r w:rsidR="00BF7491">
        <w:rPr>
          <w:sz w:val="20"/>
          <w:szCs w:val="20"/>
        </w:rPr>
        <w:t>B</w:t>
      </w:r>
      <w:r w:rsidR="00BF7491" w:rsidRPr="00BF7491">
        <w:rPr>
          <w:sz w:val="20"/>
          <w:szCs w:val="20"/>
        </w:rPr>
        <w:t>ase</w:t>
      </w:r>
      <w:r w:rsidR="00BF7491">
        <w:rPr>
          <w:sz w:val="20"/>
          <w:szCs w:val="20"/>
        </w:rPr>
        <w:t xml:space="preserve"> 2014</w:t>
      </w:r>
    </w:p>
    <w:p w:rsidR="00D670FC" w:rsidRPr="00814C47" w:rsidRDefault="00D670FC" w:rsidP="00814C47">
      <w:pPr>
        <w:spacing w:after="200" w:line="240" w:lineRule="auto"/>
        <w:contextualSpacing/>
        <w:jc w:val="both"/>
        <w:rPr>
          <w:rFonts w:ascii="Arial Narrow" w:hAnsi="Arial Narrow" w:cs="Arial"/>
        </w:rPr>
      </w:pPr>
    </w:p>
    <w:p w:rsidR="00D670FC" w:rsidRPr="00814C47" w:rsidRDefault="00D670FC" w:rsidP="00814C47">
      <w:pPr>
        <w:spacing w:after="200" w:line="240" w:lineRule="auto"/>
        <w:contextualSpacing/>
        <w:jc w:val="both"/>
        <w:rPr>
          <w:rFonts w:ascii="Arial Narrow" w:hAnsi="Arial Narrow" w:cs="Arial"/>
        </w:rPr>
      </w:pPr>
    </w:p>
    <w:p w:rsidR="00D670FC" w:rsidRPr="00814C47" w:rsidRDefault="00D670FC" w:rsidP="00814C47">
      <w:pPr>
        <w:spacing w:after="200" w:line="240" w:lineRule="auto"/>
        <w:contextualSpacing/>
        <w:jc w:val="both"/>
        <w:rPr>
          <w:rFonts w:ascii="Arial Narrow" w:hAnsi="Arial Narrow" w:cs="Arial"/>
        </w:rPr>
      </w:pPr>
    </w:p>
    <w:p w:rsidR="00C452AB" w:rsidRPr="00814C47" w:rsidRDefault="00C452AB" w:rsidP="00814C47">
      <w:pPr>
        <w:spacing w:after="200" w:line="240" w:lineRule="auto"/>
        <w:contextualSpacing/>
        <w:jc w:val="both"/>
        <w:rPr>
          <w:rFonts w:ascii="Arial Narrow" w:hAnsi="Arial Narrow" w:cs="Arial"/>
        </w:rPr>
      </w:pPr>
    </w:p>
    <w:p w:rsidR="00C452AB" w:rsidRPr="00814C47" w:rsidRDefault="00C452AB" w:rsidP="00814C47">
      <w:pPr>
        <w:spacing w:after="200" w:line="240" w:lineRule="auto"/>
        <w:contextualSpacing/>
        <w:jc w:val="both"/>
        <w:rPr>
          <w:rFonts w:ascii="Arial Narrow" w:hAnsi="Arial Narrow" w:cs="Arial"/>
        </w:rPr>
      </w:pPr>
    </w:p>
    <w:p w:rsidR="00C452AB" w:rsidRPr="00814C47" w:rsidRDefault="00C452AB" w:rsidP="00814C47">
      <w:pPr>
        <w:spacing w:after="200" w:line="240" w:lineRule="auto"/>
        <w:contextualSpacing/>
        <w:jc w:val="both"/>
        <w:rPr>
          <w:rFonts w:ascii="Arial Narrow" w:hAnsi="Arial Narrow" w:cs="Arial"/>
        </w:rPr>
      </w:pPr>
    </w:p>
    <w:p w:rsidR="00F77D9A" w:rsidRDefault="00F77D9A" w:rsidP="00814C47">
      <w:pPr>
        <w:spacing w:after="200" w:line="240" w:lineRule="auto"/>
        <w:contextualSpacing/>
        <w:jc w:val="both"/>
        <w:rPr>
          <w:rFonts w:ascii="Arial Narrow" w:hAnsi="Arial Narrow" w:cs="Arial"/>
        </w:rPr>
      </w:pPr>
    </w:p>
    <w:p w:rsidR="007B6F5C" w:rsidRDefault="007B6F5C" w:rsidP="007B6F5C">
      <w:pPr>
        <w:spacing w:after="200" w:line="240" w:lineRule="auto"/>
        <w:contextualSpacing/>
        <w:jc w:val="both"/>
        <w:rPr>
          <w:rFonts w:ascii="Arial Narrow" w:hAnsi="Arial Narrow" w:cs="Arial"/>
        </w:rPr>
      </w:pPr>
      <w:r w:rsidRPr="00814C47">
        <w:rPr>
          <w:rFonts w:ascii="Arial Narrow" w:hAnsi="Arial Narrow" w:cs="Arial"/>
        </w:rPr>
        <w:t>Entre los costos de explotación, destacan los costos</w:t>
      </w:r>
      <w:r>
        <w:rPr>
          <w:rFonts w:ascii="Arial Narrow" w:hAnsi="Arial Narrow" w:cs="Arial"/>
        </w:rPr>
        <w:t xml:space="preserve"> corporativos</w:t>
      </w:r>
      <w:r w:rsidRPr="00814C47">
        <w:rPr>
          <w:rFonts w:ascii="Arial Narrow" w:hAnsi="Arial Narrow" w:cs="Arial"/>
        </w:rPr>
        <w:t xml:space="preserve"> que</w:t>
      </w:r>
      <w:r w:rsidRPr="00814C47">
        <w:rPr>
          <w:rFonts w:ascii="Arial Narrow" w:hAnsi="Arial Narrow"/>
        </w:rPr>
        <w:t xml:space="preserve"> están presentes en los procesos que son desarrollados en forma casi exclusivamente centralizada como Dirección, Estrategia y Control; Asesoría Legal; Auditoria Interna; Relaciones Públicas y Gestión Social; Control de Gestión; Regulación; Calidad de Servicio; Gestión Ambiental; y Administración y Finanzas. Es decir, casi todos los subprocesos desarrollados como parte de los procesos de apoyo a otras áreas.</w:t>
      </w:r>
      <w:r w:rsidRPr="00814C47">
        <w:rPr>
          <w:rFonts w:ascii="Arial Narrow" w:hAnsi="Arial Narrow" w:cs="Arial"/>
        </w:rPr>
        <w:t xml:space="preserve"> Estos costo</w:t>
      </w:r>
      <w:r>
        <w:rPr>
          <w:rFonts w:ascii="Arial Narrow" w:hAnsi="Arial Narrow" w:cs="Arial"/>
        </w:rPr>
        <w:t>s fueron reasignados entre las 16 divisiones de Distribución</w:t>
      </w:r>
      <w:r w:rsidRPr="00814C47">
        <w:rPr>
          <w:rFonts w:ascii="Arial Narrow" w:hAnsi="Arial Narrow" w:cs="Arial"/>
        </w:rPr>
        <w:t xml:space="preserve"> de acuerdo </w:t>
      </w:r>
      <w:r w:rsidR="004C4EC5">
        <w:rPr>
          <w:rFonts w:ascii="Arial Narrow" w:hAnsi="Arial Narrow" w:cs="Arial"/>
        </w:rPr>
        <w:t>con</w:t>
      </w:r>
      <w:r w:rsidRPr="00814C47">
        <w:rPr>
          <w:rFonts w:ascii="Arial Narrow" w:hAnsi="Arial Narrow" w:cs="Arial"/>
        </w:rPr>
        <w:t xml:space="preserve"> la cantidad de clientes existentes en cada una de ellas, esto con el objetivo de lograr una relación más eficiente entre los costos corporativos y la cantidad de clientes que atiende cada </w:t>
      </w:r>
      <w:r>
        <w:rPr>
          <w:rFonts w:ascii="Arial Narrow" w:hAnsi="Arial Narrow" w:cs="Arial"/>
        </w:rPr>
        <w:t>división de distribución</w:t>
      </w:r>
      <w:r w:rsidRPr="00814C47">
        <w:rPr>
          <w:rFonts w:ascii="Arial Narrow" w:hAnsi="Arial Narrow" w:cs="Arial"/>
        </w:rPr>
        <w:t xml:space="preserve">. </w:t>
      </w:r>
      <w:r w:rsidRPr="00814C47">
        <w:rPr>
          <w:rFonts w:ascii="Arial Narrow" w:hAnsi="Arial Narrow"/>
        </w:rPr>
        <w:t xml:space="preserve">Con ello, se busca que los costos estén asociados a una empresa eficientemente gestionada, de manera tal que las ineficiencias endógenas a la gestión de la empresa regulada no se trasladen a las tarifas del usuario final. </w:t>
      </w:r>
      <w:r w:rsidRPr="00377F6F">
        <w:rPr>
          <w:rFonts w:ascii="Arial Narrow" w:hAnsi="Arial Narrow" w:cs="Arial"/>
        </w:rPr>
        <w:t xml:space="preserve">La siguiente gráfica muestra la reasignación de dichos costos tomando como criterio el número de clientes en cada </w:t>
      </w:r>
      <w:r w:rsidR="0025073C">
        <w:rPr>
          <w:rFonts w:ascii="Arial Narrow" w:hAnsi="Arial Narrow" w:cs="Arial"/>
        </w:rPr>
        <w:t>división de Distribución</w:t>
      </w:r>
      <w:r w:rsidRPr="00377F6F">
        <w:rPr>
          <w:rFonts w:ascii="Arial Narrow" w:hAnsi="Arial Narrow" w:cs="Arial"/>
        </w:rPr>
        <w:t>.</w:t>
      </w:r>
    </w:p>
    <w:p w:rsidR="00377F6F" w:rsidRPr="00AF79A3" w:rsidRDefault="00377F6F" w:rsidP="00377F6F">
      <w:pPr>
        <w:pStyle w:val="Descripcin"/>
        <w:jc w:val="center"/>
        <w:rPr>
          <w:rFonts w:cs="Arial"/>
          <w:sz w:val="20"/>
        </w:rPr>
      </w:pPr>
      <w:r w:rsidRPr="00AF79A3">
        <w:rPr>
          <w:sz w:val="20"/>
        </w:rPr>
        <w:t xml:space="preserve">Gráfica </w:t>
      </w:r>
      <w:r w:rsidRPr="00AF79A3">
        <w:rPr>
          <w:sz w:val="20"/>
        </w:rPr>
        <w:fldChar w:fldCharType="begin"/>
      </w:r>
      <w:r w:rsidRPr="00AF79A3">
        <w:rPr>
          <w:sz w:val="20"/>
        </w:rPr>
        <w:instrText xml:space="preserve"> SEQ Gráfica \* ARABIC </w:instrText>
      </w:r>
      <w:r w:rsidRPr="00AF79A3">
        <w:rPr>
          <w:sz w:val="20"/>
        </w:rPr>
        <w:fldChar w:fldCharType="separate"/>
      </w:r>
      <w:r w:rsidR="0096062C" w:rsidRPr="00AF79A3">
        <w:rPr>
          <w:noProof/>
          <w:sz w:val="20"/>
        </w:rPr>
        <w:t>1</w:t>
      </w:r>
      <w:r w:rsidRPr="00AF79A3">
        <w:rPr>
          <w:sz w:val="20"/>
        </w:rPr>
        <w:fldChar w:fldCharType="end"/>
      </w:r>
      <w:r w:rsidRPr="00AF79A3">
        <w:rPr>
          <w:sz w:val="20"/>
        </w:rPr>
        <w:t>. Reasignac</w:t>
      </w:r>
      <w:r w:rsidR="00C71743" w:rsidRPr="00AF79A3">
        <w:rPr>
          <w:sz w:val="20"/>
        </w:rPr>
        <w:t>ión de costos corporativos por d</w:t>
      </w:r>
      <w:r w:rsidRPr="00AF79A3">
        <w:rPr>
          <w:sz w:val="20"/>
        </w:rPr>
        <w:t>ivisión de Distribución</w:t>
      </w:r>
    </w:p>
    <w:p w:rsidR="007B6F5C" w:rsidRDefault="00377F6F" w:rsidP="00377F6F">
      <w:pPr>
        <w:spacing w:after="200" w:line="240" w:lineRule="auto"/>
        <w:contextualSpacing/>
        <w:jc w:val="center"/>
        <w:rPr>
          <w:rFonts w:ascii="Arial Narrow" w:hAnsi="Arial Narrow" w:cs="Arial"/>
        </w:rPr>
      </w:pPr>
      <w:r>
        <w:rPr>
          <w:noProof/>
          <w:lang w:eastAsia="es-MX"/>
        </w:rPr>
        <w:drawing>
          <wp:inline distT="0" distB="0" distL="0" distR="0" wp14:anchorId="7BDAE992" wp14:editId="183F856B">
            <wp:extent cx="4647063" cy="2558955"/>
            <wp:effectExtent l="0" t="0" r="127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77F6F" w:rsidRDefault="00377F6F" w:rsidP="00814C47">
      <w:pPr>
        <w:spacing w:after="200" w:line="240" w:lineRule="auto"/>
        <w:contextualSpacing/>
        <w:jc w:val="both"/>
        <w:rPr>
          <w:rFonts w:ascii="Arial Narrow" w:hAnsi="Arial Narrow" w:cs="Arial"/>
        </w:rPr>
      </w:pPr>
    </w:p>
    <w:p w:rsidR="00FF5528" w:rsidRPr="00814C47" w:rsidRDefault="00ED10E0" w:rsidP="00814C47">
      <w:pPr>
        <w:spacing w:after="200" w:line="240" w:lineRule="auto"/>
        <w:contextualSpacing/>
        <w:jc w:val="both"/>
        <w:rPr>
          <w:rFonts w:ascii="Arial Narrow" w:hAnsi="Arial Narrow" w:cs="Arial"/>
        </w:rPr>
      </w:pPr>
      <w:r w:rsidRPr="00814C47">
        <w:rPr>
          <w:rFonts w:ascii="Arial Narrow" w:hAnsi="Arial Narrow" w:cs="Arial"/>
        </w:rPr>
        <w:t>Una vez obtenidos los costos</w:t>
      </w:r>
      <w:r w:rsidR="00BE3842" w:rsidRPr="00814C47">
        <w:rPr>
          <w:rFonts w:ascii="Arial Narrow" w:hAnsi="Arial Narrow" w:cs="Arial"/>
        </w:rPr>
        <w:t xml:space="preserve"> totales</w:t>
      </w:r>
      <w:r w:rsidRPr="00814C47">
        <w:rPr>
          <w:rFonts w:ascii="Arial Narrow" w:hAnsi="Arial Narrow" w:cs="Arial"/>
        </w:rPr>
        <w:t xml:space="preserve"> de explotación, estos </w:t>
      </w:r>
      <w:r w:rsidR="00BE3842" w:rsidRPr="00814C47">
        <w:rPr>
          <w:rFonts w:ascii="Arial Narrow" w:hAnsi="Arial Narrow" w:cs="Arial"/>
        </w:rPr>
        <w:t xml:space="preserve">fueron </w:t>
      </w:r>
      <w:r w:rsidR="007B6F5C">
        <w:rPr>
          <w:rFonts w:ascii="Arial Narrow" w:hAnsi="Arial Narrow" w:cs="Arial"/>
        </w:rPr>
        <w:t>asignados entre las 16 divisiones de Distribución</w:t>
      </w:r>
      <w:r w:rsidR="00EF6DDC" w:rsidRPr="00814C47">
        <w:rPr>
          <w:rFonts w:ascii="Arial Narrow" w:hAnsi="Arial Narrow" w:cs="Arial"/>
        </w:rPr>
        <w:t xml:space="preserve"> </w:t>
      </w:r>
      <w:r w:rsidR="0025073C">
        <w:rPr>
          <w:rFonts w:ascii="Arial Narrow" w:hAnsi="Arial Narrow" w:cs="Arial"/>
        </w:rPr>
        <w:t>en los montos que se muestran a continuación.</w:t>
      </w:r>
    </w:p>
    <w:p w:rsidR="0074426B" w:rsidRPr="00F77D9A" w:rsidRDefault="00A40277" w:rsidP="00D90AA3">
      <w:pPr>
        <w:pStyle w:val="Descripcin"/>
        <w:spacing w:after="120"/>
        <w:jc w:val="center"/>
        <w:rPr>
          <w:sz w:val="20"/>
          <w:szCs w:val="20"/>
        </w:rPr>
      </w:pPr>
      <w:r w:rsidRPr="00F77D9A">
        <w:rPr>
          <w:sz w:val="20"/>
          <w:szCs w:val="20"/>
        </w:rPr>
        <w:lastRenderedPageBreak/>
        <w:t xml:space="preserve">Tabla </w:t>
      </w:r>
      <w:r w:rsidRPr="00F77D9A">
        <w:rPr>
          <w:sz w:val="20"/>
          <w:szCs w:val="20"/>
        </w:rPr>
        <w:fldChar w:fldCharType="begin"/>
      </w:r>
      <w:r w:rsidRPr="00F77D9A">
        <w:rPr>
          <w:sz w:val="20"/>
          <w:szCs w:val="20"/>
        </w:rPr>
        <w:instrText xml:space="preserve"> SEQ Tabla \* ARABIC </w:instrText>
      </w:r>
      <w:r w:rsidRPr="00F77D9A">
        <w:rPr>
          <w:sz w:val="20"/>
          <w:szCs w:val="20"/>
        </w:rPr>
        <w:fldChar w:fldCharType="separate"/>
      </w:r>
      <w:r w:rsidR="001505BF">
        <w:rPr>
          <w:noProof/>
          <w:sz w:val="20"/>
          <w:szCs w:val="20"/>
        </w:rPr>
        <w:t>2</w:t>
      </w:r>
      <w:r w:rsidRPr="00F77D9A">
        <w:rPr>
          <w:sz w:val="20"/>
          <w:szCs w:val="20"/>
        </w:rPr>
        <w:fldChar w:fldCharType="end"/>
      </w:r>
      <w:r w:rsidR="00084C4E">
        <w:rPr>
          <w:sz w:val="20"/>
          <w:szCs w:val="20"/>
        </w:rPr>
        <w:t xml:space="preserve">. Costos </w:t>
      </w:r>
      <w:r w:rsidR="0025073C">
        <w:rPr>
          <w:sz w:val="20"/>
          <w:szCs w:val="20"/>
        </w:rPr>
        <w:t>de explotación por división de D</w:t>
      </w:r>
      <w:r w:rsidR="00084C4E">
        <w:rPr>
          <w:sz w:val="20"/>
          <w:szCs w:val="20"/>
        </w:rPr>
        <w:t>istribución</w:t>
      </w:r>
      <w:r w:rsidR="0025073C">
        <w:rPr>
          <w:sz w:val="20"/>
          <w:szCs w:val="20"/>
        </w:rPr>
        <w:t xml:space="preserve"> 2014</w:t>
      </w:r>
    </w:p>
    <w:tbl>
      <w:tblPr>
        <w:tblW w:w="0" w:type="auto"/>
        <w:jc w:val="center"/>
        <w:tblCellMar>
          <w:left w:w="70" w:type="dxa"/>
          <w:right w:w="70" w:type="dxa"/>
        </w:tblCellMar>
        <w:tblLook w:val="04A0" w:firstRow="1" w:lastRow="0" w:firstColumn="1" w:lastColumn="0" w:noHBand="0" w:noVBand="1"/>
      </w:tblPr>
      <w:tblGrid>
        <w:gridCol w:w="1830"/>
        <w:gridCol w:w="1040"/>
      </w:tblGrid>
      <w:tr w:rsidR="00182992" w:rsidRPr="00D90AA3" w:rsidTr="00AF2F0E">
        <w:trPr>
          <w:trHeight w:val="20"/>
          <w:jc w:val="center"/>
        </w:trPr>
        <w:tc>
          <w:tcPr>
            <w:tcW w:w="0" w:type="auto"/>
            <w:tcBorders>
              <w:top w:val="single" w:sz="8" w:space="0" w:color="auto"/>
              <w:left w:val="single" w:sz="8" w:space="0" w:color="auto"/>
              <w:bottom w:val="single" w:sz="8" w:space="0" w:color="000000"/>
              <w:right w:val="single" w:sz="8" w:space="0" w:color="auto"/>
            </w:tcBorders>
            <w:shd w:val="clear" w:color="auto" w:fill="365F91" w:themeFill="accent1" w:themeFillShade="BF"/>
            <w:vAlign w:val="center"/>
            <w:hideMark/>
          </w:tcPr>
          <w:p w:rsidR="00182992" w:rsidRDefault="00F615BE" w:rsidP="007B6F5C">
            <w:pPr>
              <w:spacing w:after="0" w:line="240" w:lineRule="auto"/>
              <w:jc w:val="center"/>
              <w:rPr>
                <w:rFonts w:ascii="Arial Narrow" w:eastAsia="Times New Roman" w:hAnsi="Arial Narrow" w:cs="Times New Roman"/>
                <w:b/>
                <w:bCs/>
                <w:color w:val="FFFFFF"/>
                <w:sz w:val="18"/>
                <w:szCs w:val="18"/>
                <w:lang w:eastAsia="es-MX"/>
              </w:rPr>
            </w:pPr>
            <w:r w:rsidRPr="00D90AA3">
              <w:rPr>
                <w:rFonts w:ascii="Arial Narrow" w:eastAsia="Times New Roman" w:hAnsi="Arial Narrow" w:cs="Times New Roman"/>
                <w:b/>
                <w:bCs/>
                <w:color w:val="FFFFFF"/>
                <w:sz w:val="18"/>
                <w:szCs w:val="18"/>
                <w:lang w:eastAsia="es-MX"/>
              </w:rPr>
              <w:t>División de D</w:t>
            </w:r>
            <w:r w:rsidR="00084C4E" w:rsidRPr="00D90AA3">
              <w:rPr>
                <w:rFonts w:ascii="Arial Narrow" w:eastAsia="Times New Roman" w:hAnsi="Arial Narrow" w:cs="Times New Roman"/>
                <w:b/>
                <w:bCs/>
                <w:color w:val="FFFFFF"/>
                <w:sz w:val="18"/>
                <w:szCs w:val="18"/>
                <w:lang w:eastAsia="es-MX"/>
              </w:rPr>
              <w:t>istribución</w:t>
            </w:r>
          </w:p>
          <w:p w:rsidR="007B6F5C" w:rsidRPr="007B6F5C" w:rsidRDefault="007B6F5C" w:rsidP="007B6F5C">
            <w:pPr>
              <w:spacing w:after="0" w:line="240" w:lineRule="auto"/>
              <w:jc w:val="center"/>
              <w:rPr>
                <w:rFonts w:ascii="Arial Narrow" w:eastAsia="Times New Roman" w:hAnsi="Arial Narrow" w:cs="Times New Roman"/>
                <w:b/>
                <w:bCs/>
                <w:i/>
                <w:color w:val="FFFFFF"/>
                <w:sz w:val="18"/>
                <w:szCs w:val="18"/>
                <w:lang w:eastAsia="es-MX"/>
              </w:rPr>
            </w:pPr>
            <w:r w:rsidRPr="007B6F5C">
              <w:rPr>
                <w:rFonts w:ascii="Arial Narrow" w:eastAsia="Times New Roman" w:hAnsi="Arial Narrow" w:cs="Times New Roman"/>
                <w:b/>
                <w:bCs/>
                <w:i/>
                <w:color w:val="FFFFFF"/>
                <w:sz w:val="14"/>
                <w:szCs w:val="18"/>
                <w:lang w:eastAsia="es-MX"/>
              </w:rPr>
              <w:t>(millones de pesos)</w:t>
            </w:r>
          </w:p>
        </w:tc>
        <w:tc>
          <w:tcPr>
            <w:tcW w:w="1040" w:type="dxa"/>
            <w:tcBorders>
              <w:top w:val="single" w:sz="8" w:space="0" w:color="auto"/>
              <w:left w:val="nil"/>
              <w:bottom w:val="nil"/>
              <w:right w:val="single" w:sz="8" w:space="0" w:color="auto"/>
            </w:tcBorders>
            <w:shd w:val="clear" w:color="auto" w:fill="365F91" w:themeFill="accent1" w:themeFillShade="BF"/>
            <w:vAlign w:val="center"/>
            <w:hideMark/>
          </w:tcPr>
          <w:p w:rsidR="007B6F5C" w:rsidRDefault="00D90AA3" w:rsidP="007B6F5C">
            <w:pPr>
              <w:spacing w:after="0" w:line="240" w:lineRule="auto"/>
              <w:jc w:val="center"/>
              <w:rPr>
                <w:rFonts w:ascii="Arial Narrow" w:eastAsia="Times New Roman" w:hAnsi="Arial Narrow" w:cs="Times New Roman"/>
                <w:b/>
                <w:bCs/>
                <w:color w:val="FFFFFF"/>
                <w:sz w:val="18"/>
                <w:szCs w:val="18"/>
                <w:lang w:eastAsia="es-MX"/>
              </w:rPr>
            </w:pPr>
            <w:r>
              <w:rPr>
                <w:rFonts w:ascii="Arial Narrow" w:eastAsia="Times New Roman" w:hAnsi="Arial Narrow" w:cs="Times New Roman"/>
                <w:b/>
                <w:bCs/>
                <w:color w:val="FFFFFF"/>
                <w:sz w:val="18"/>
                <w:szCs w:val="18"/>
                <w:lang w:eastAsia="es-MX"/>
              </w:rPr>
              <w:t>Costos de</w:t>
            </w:r>
          </w:p>
          <w:p w:rsidR="00182992" w:rsidRPr="00D90AA3" w:rsidRDefault="0025073C" w:rsidP="007B6F5C">
            <w:pPr>
              <w:spacing w:after="0" w:line="240" w:lineRule="auto"/>
              <w:jc w:val="center"/>
              <w:rPr>
                <w:rFonts w:ascii="Arial Narrow" w:eastAsia="Times New Roman" w:hAnsi="Arial Narrow" w:cs="Times New Roman"/>
                <w:b/>
                <w:bCs/>
                <w:color w:val="FFFFFF"/>
                <w:sz w:val="18"/>
                <w:szCs w:val="18"/>
                <w:lang w:eastAsia="es-MX"/>
              </w:rPr>
            </w:pPr>
            <w:r>
              <w:rPr>
                <w:rFonts w:ascii="Arial Narrow" w:eastAsia="Times New Roman" w:hAnsi="Arial Narrow" w:cs="Times New Roman"/>
                <w:b/>
                <w:bCs/>
                <w:color w:val="FFFFFF"/>
                <w:sz w:val="18"/>
                <w:szCs w:val="18"/>
                <w:lang w:eastAsia="es-MX"/>
              </w:rPr>
              <w:t>E</w:t>
            </w:r>
            <w:r w:rsidR="00D90AA3">
              <w:rPr>
                <w:rFonts w:ascii="Arial Narrow" w:eastAsia="Times New Roman" w:hAnsi="Arial Narrow" w:cs="Times New Roman"/>
                <w:b/>
                <w:bCs/>
                <w:color w:val="FFFFFF"/>
                <w:sz w:val="18"/>
                <w:szCs w:val="18"/>
                <w:lang w:eastAsia="es-MX"/>
              </w:rPr>
              <w:t>xplo</w:t>
            </w:r>
            <w:r w:rsidR="007B6F5C">
              <w:rPr>
                <w:rFonts w:ascii="Arial Narrow" w:eastAsia="Times New Roman" w:hAnsi="Arial Narrow" w:cs="Times New Roman"/>
                <w:b/>
                <w:bCs/>
                <w:color w:val="FFFFFF"/>
                <w:sz w:val="18"/>
                <w:szCs w:val="18"/>
                <w:lang w:eastAsia="es-MX"/>
              </w:rPr>
              <w:t>tación</w:t>
            </w:r>
            <w:r>
              <w:rPr>
                <w:rFonts w:ascii="Arial Narrow" w:eastAsia="Times New Roman" w:hAnsi="Arial Narrow" w:cs="Times New Roman"/>
                <w:b/>
                <w:bCs/>
                <w:color w:val="FFFFFF"/>
                <w:sz w:val="18"/>
                <w:szCs w:val="18"/>
                <w:lang w:eastAsia="es-MX"/>
              </w:rPr>
              <w:t xml:space="preserve"> 2014</w:t>
            </w:r>
          </w:p>
        </w:tc>
      </w:tr>
      <w:tr w:rsidR="00182992" w:rsidRPr="00D90AA3" w:rsidTr="00AF2F0E">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182992" w:rsidRPr="00D90AA3" w:rsidRDefault="00182992" w:rsidP="00814C47">
            <w:pPr>
              <w:spacing w:after="0" w:line="240" w:lineRule="auto"/>
              <w:jc w:val="both"/>
              <w:rPr>
                <w:rFonts w:ascii="Arial Narrow" w:eastAsia="Times New Roman" w:hAnsi="Arial Narrow" w:cs="Times New Roman"/>
                <w:sz w:val="18"/>
                <w:szCs w:val="18"/>
                <w:lang w:eastAsia="es-MX"/>
              </w:rPr>
            </w:pPr>
            <w:r w:rsidRPr="00D90AA3">
              <w:rPr>
                <w:rFonts w:ascii="Arial Narrow" w:eastAsia="Times New Roman" w:hAnsi="Arial Narrow" w:cs="Times New Roman"/>
                <w:sz w:val="18"/>
                <w:szCs w:val="18"/>
                <w:lang w:val="es-AR" w:eastAsia="es-MX"/>
              </w:rPr>
              <w:t>BAJA CALIFORNIA</w:t>
            </w:r>
          </w:p>
        </w:tc>
        <w:tc>
          <w:tcPr>
            <w:tcW w:w="1040" w:type="dxa"/>
            <w:tcBorders>
              <w:top w:val="single" w:sz="8" w:space="0" w:color="auto"/>
              <w:left w:val="nil"/>
              <w:bottom w:val="nil"/>
              <w:right w:val="single" w:sz="8" w:space="0" w:color="auto"/>
            </w:tcBorders>
            <w:shd w:val="clear" w:color="auto" w:fill="auto"/>
            <w:vAlign w:val="center"/>
            <w:hideMark/>
          </w:tcPr>
          <w:p w:rsidR="00182992" w:rsidRPr="00D90AA3" w:rsidRDefault="00182992" w:rsidP="00F77D9A">
            <w:pPr>
              <w:spacing w:after="0" w:line="240" w:lineRule="auto"/>
              <w:jc w:val="center"/>
              <w:rPr>
                <w:rFonts w:ascii="Arial Narrow" w:eastAsia="Times New Roman" w:hAnsi="Arial Narrow" w:cs="Times New Roman"/>
                <w:sz w:val="18"/>
                <w:szCs w:val="18"/>
                <w:lang w:eastAsia="es-MX"/>
              </w:rPr>
            </w:pPr>
            <w:r w:rsidRPr="00D90AA3">
              <w:rPr>
                <w:rFonts w:ascii="Arial Narrow" w:eastAsia="Times New Roman" w:hAnsi="Arial Narrow" w:cs="Times New Roman"/>
                <w:sz w:val="18"/>
                <w:szCs w:val="18"/>
                <w:lang w:eastAsia="es-MX"/>
              </w:rPr>
              <w:t>3,335</w:t>
            </w:r>
          </w:p>
        </w:tc>
      </w:tr>
      <w:tr w:rsidR="00182992" w:rsidRPr="00D90AA3" w:rsidTr="00AF2F0E">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182992" w:rsidRPr="00D90AA3" w:rsidRDefault="00182992" w:rsidP="00814C47">
            <w:pPr>
              <w:spacing w:after="0" w:line="240" w:lineRule="auto"/>
              <w:jc w:val="both"/>
              <w:rPr>
                <w:rFonts w:ascii="Arial Narrow" w:eastAsia="Times New Roman" w:hAnsi="Arial Narrow" w:cs="Times New Roman"/>
                <w:sz w:val="18"/>
                <w:szCs w:val="18"/>
                <w:lang w:eastAsia="es-MX"/>
              </w:rPr>
            </w:pPr>
            <w:r w:rsidRPr="00D90AA3">
              <w:rPr>
                <w:rFonts w:ascii="Arial Narrow" w:eastAsia="Times New Roman" w:hAnsi="Arial Narrow" w:cs="Times New Roman"/>
                <w:sz w:val="18"/>
                <w:szCs w:val="18"/>
                <w:lang w:val="es-AR" w:eastAsia="es-MX"/>
              </w:rPr>
              <w:t>BAJIO</w:t>
            </w:r>
          </w:p>
        </w:tc>
        <w:tc>
          <w:tcPr>
            <w:tcW w:w="1040" w:type="dxa"/>
            <w:tcBorders>
              <w:top w:val="nil"/>
              <w:left w:val="nil"/>
              <w:bottom w:val="nil"/>
              <w:right w:val="single" w:sz="8" w:space="0" w:color="auto"/>
            </w:tcBorders>
            <w:shd w:val="clear" w:color="auto" w:fill="auto"/>
            <w:vAlign w:val="center"/>
            <w:hideMark/>
          </w:tcPr>
          <w:p w:rsidR="00182992" w:rsidRPr="00D90AA3" w:rsidRDefault="00182992" w:rsidP="00F77D9A">
            <w:pPr>
              <w:spacing w:after="0" w:line="240" w:lineRule="auto"/>
              <w:jc w:val="center"/>
              <w:rPr>
                <w:rFonts w:ascii="Arial Narrow" w:eastAsia="Times New Roman" w:hAnsi="Arial Narrow" w:cs="Times New Roman"/>
                <w:sz w:val="18"/>
                <w:szCs w:val="18"/>
                <w:lang w:eastAsia="es-MX"/>
              </w:rPr>
            </w:pPr>
            <w:r w:rsidRPr="00D90AA3">
              <w:rPr>
                <w:rFonts w:ascii="Arial Narrow" w:eastAsia="Times New Roman" w:hAnsi="Arial Narrow" w:cs="Times New Roman"/>
                <w:sz w:val="18"/>
                <w:szCs w:val="18"/>
                <w:lang w:eastAsia="es-MX"/>
              </w:rPr>
              <w:t>4,516</w:t>
            </w:r>
          </w:p>
        </w:tc>
      </w:tr>
      <w:tr w:rsidR="00182992" w:rsidRPr="00D90AA3" w:rsidTr="00AF2F0E">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182992" w:rsidRPr="00D90AA3" w:rsidRDefault="00182992" w:rsidP="00814C47">
            <w:pPr>
              <w:spacing w:after="0" w:line="240" w:lineRule="auto"/>
              <w:jc w:val="both"/>
              <w:rPr>
                <w:rFonts w:ascii="Arial Narrow" w:eastAsia="Times New Roman" w:hAnsi="Arial Narrow" w:cs="Times New Roman"/>
                <w:sz w:val="18"/>
                <w:szCs w:val="18"/>
                <w:lang w:eastAsia="es-MX"/>
              </w:rPr>
            </w:pPr>
            <w:r w:rsidRPr="00D90AA3">
              <w:rPr>
                <w:rFonts w:ascii="Arial Narrow" w:eastAsia="Times New Roman" w:hAnsi="Arial Narrow" w:cs="Times New Roman"/>
                <w:sz w:val="18"/>
                <w:szCs w:val="18"/>
                <w:lang w:val="es-AR" w:eastAsia="es-MX"/>
              </w:rPr>
              <w:t>CENTRO OCCIDENTE</w:t>
            </w:r>
          </w:p>
        </w:tc>
        <w:tc>
          <w:tcPr>
            <w:tcW w:w="1040" w:type="dxa"/>
            <w:tcBorders>
              <w:top w:val="nil"/>
              <w:left w:val="nil"/>
              <w:bottom w:val="nil"/>
              <w:right w:val="single" w:sz="8" w:space="0" w:color="auto"/>
            </w:tcBorders>
            <w:shd w:val="clear" w:color="auto" w:fill="auto"/>
            <w:vAlign w:val="center"/>
            <w:hideMark/>
          </w:tcPr>
          <w:p w:rsidR="00182992" w:rsidRPr="00D90AA3" w:rsidRDefault="00182992" w:rsidP="00F77D9A">
            <w:pPr>
              <w:spacing w:after="0" w:line="240" w:lineRule="auto"/>
              <w:jc w:val="center"/>
              <w:rPr>
                <w:rFonts w:ascii="Arial Narrow" w:eastAsia="Times New Roman" w:hAnsi="Arial Narrow" w:cs="Times New Roman"/>
                <w:sz w:val="18"/>
                <w:szCs w:val="18"/>
                <w:lang w:eastAsia="es-MX"/>
              </w:rPr>
            </w:pPr>
            <w:r w:rsidRPr="00D90AA3">
              <w:rPr>
                <w:rFonts w:ascii="Arial Narrow" w:eastAsia="Times New Roman" w:hAnsi="Arial Narrow" w:cs="Times New Roman"/>
                <w:sz w:val="18"/>
                <w:szCs w:val="18"/>
                <w:lang w:eastAsia="es-MX"/>
              </w:rPr>
              <w:t>2,503</w:t>
            </w:r>
          </w:p>
        </w:tc>
      </w:tr>
      <w:tr w:rsidR="00182992" w:rsidRPr="00D90AA3" w:rsidTr="00AF2F0E">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182992" w:rsidRPr="00D90AA3" w:rsidRDefault="00182992" w:rsidP="00814C47">
            <w:pPr>
              <w:spacing w:after="0" w:line="240" w:lineRule="auto"/>
              <w:jc w:val="both"/>
              <w:rPr>
                <w:rFonts w:ascii="Arial Narrow" w:eastAsia="Times New Roman" w:hAnsi="Arial Narrow" w:cs="Times New Roman"/>
                <w:sz w:val="18"/>
                <w:szCs w:val="18"/>
                <w:lang w:eastAsia="es-MX"/>
              </w:rPr>
            </w:pPr>
            <w:r w:rsidRPr="00D90AA3">
              <w:rPr>
                <w:rFonts w:ascii="Arial Narrow" w:eastAsia="Times New Roman" w:hAnsi="Arial Narrow" w:cs="Times New Roman"/>
                <w:sz w:val="18"/>
                <w:szCs w:val="18"/>
                <w:lang w:val="es-AR" w:eastAsia="es-MX"/>
              </w:rPr>
              <w:t>CENTRO ORIENTE</w:t>
            </w:r>
          </w:p>
        </w:tc>
        <w:tc>
          <w:tcPr>
            <w:tcW w:w="1040" w:type="dxa"/>
            <w:tcBorders>
              <w:top w:val="nil"/>
              <w:left w:val="nil"/>
              <w:bottom w:val="nil"/>
              <w:right w:val="single" w:sz="8" w:space="0" w:color="auto"/>
            </w:tcBorders>
            <w:shd w:val="clear" w:color="auto" w:fill="auto"/>
            <w:vAlign w:val="center"/>
            <w:hideMark/>
          </w:tcPr>
          <w:p w:rsidR="00182992" w:rsidRPr="00D90AA3" w:rsidRDefault="00182992" w:rsidP="00F77D9A">
            <w:pPr>
              <w:spacing w:after="0" w:line="240" w:lineRule="auto"/>
              <w:jc w:val="center"/>
              <w:rPr>
                <w:rFonts w:ascii="Arial Narrow" w:eastAsia="Times New Roman" w:hAnsi="Arial Narrow" w:cs="Times New Roman"/>
                <w:sz w:val="18"/>
                <w:szCs w:val="18"/>
                <w:lang w:eastAsia="es-MX"/>
              </w:rPr>
            </w:pPr>
            <w:r w:rsidRPr="00D90AA3">
              <w:rPr>
                <w:rFonts w:ascii="Arial Narrow" w:eastAsia="Times New Roman" w:hAnsi="Arial Narrow" w:cs="Times New Roman"/>
                <w:sz w:val="18"/>
                <w:szCs w:val="18"/>
                <w:lang w:eastAsia="es-MX"/>
              </w:rPr>
              <w:t>3,404</w:t>
            </w:r>
          </w:p>
        </w:tc>
      </w:tr>
      <w:tr w:rsidR="00182992" w:rsidRPr="00D90AA3" w:rsidTr="00AF2F0E">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182992" w:rsidRPr="00D90AA3" w:rsidRDefault="00182992" w:rsidP="00814C47">
            <w:pPr>
              <w:spacing w:after="0" w:line="240" w:lineRule="auto"/>
              <w:jc w:val="both"/>
              <w:rPr>
                <w:rFonts w:ascii="Arial Narrow" w:eastAsia="Times New Roman" w:hAnsi="Arial Narrow" w:cs="Times New Roman"/>
                <w:sz w:val="18"/>
                <w:szCs w:val="18"/>
                <w:lang w:eastAsia="es-MX"/>
              </w:rPr>
            </w:pPr>
            <w:r w:rsidRPr="00D90AA3">
              <w:rPr>
                <w:rFonts w:ascii="Arial Narrow" w:eastAsia="Times New Roman" w:hAnsi="Arial Narrow" w:cs="Times New Roman"/>
                <w:sz w:val="18"/>
                <w:szCs w:val="18"/>
                <w:lang w:val="es-AR" w:eastAsia="es-MX"/>
              </w:rPr>
              <w:t>CENTRO SUR</w:t>
            </w:r>
          </w:p>
        </w:tc>
        <w:tc>
          <w:tcPr>
            <w:tcW w:w="1040" w:type="dxa"/>
            <w:tcBorders>
              <w:top w:val="nil"/>
              <w:left w:val="nil"/>
              <w:bottom w:val="nil"/>
              <w:right w:val="single" w:sz="8" w:space="0" w:color="auto"/>
            </w:tcBorders>
            <w:shd w:val="clear" w:color="auto" w:fill="auto"/>
            <w:vAlign w:val="center"/>
            <w:hideMark/>
          </w:tcPr>
          <w:p w:rsidR="00182992" w:rsidRPr="00D90AA3" w:rsidRDefault="00182992" w:rsidP="00F77D9A">
            <w:pPr>
              <w:spacing w:after="0" w:line="240" w:lineRule="auto"/>
              <w:jc w:val="center"/>
              <w:rPr>
                <w:rFonts w:ascii="Arial Narrow" w:eastAsia="Times New Roman" w:hAnsi="Arial Narrow" w:cs="Times New Roman"/>
                <w:sz w:val="18"/>
                <w:szCs w:val="18"/>
                <w:lang w:eastAsia="es-MX"/>
              </w:rPr>
            </w:pPr>
            <w:r w:rsidRPr="00D90AA3">
              <w:rPr>
                <w:rFonts w:ascii="Arial Narrow" w:eastAsia="Times New Roman" w:hAnsi="Arial Narrow" w:cs="Times New Roman"/>
                <w:sz w:val="18"/>
                <w:szCs w:val="18"/>
                <w:lang w:eastAsia="es-MX"/>
              </w:rPr>
              <w:t>3,469</w:t>
            </w:r>
          </w:p>
        </w:tc>
      </w:tr>
      <w:tr w:rsidR="00182992" w:rsidRPr="00D90AA3" w:rsidTr="00AF2F0E">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182992" w:rsidRPr="00D90AA3" w:rsidRDefault="00182992" w:rsidP="00814C47">
            <w:pPr>
              <w:spacing w:after="0" w:line="240" w:lineRule="auto"/>
              <w:jc w:val="both"/>
              <w:rPr>
                <w:rFonts w:ascii="Arial Narrow" w:eastAsia="Times New Roman" w:hAnsi="Arial Narrow" w:cs="Times New Roman"/>
                <w:sz w:val="18"/>
                <w:szCs w:val="18"/>
                <w:lang w:eastAsia="es-MX"/>
              </w:rPr>
            </w:pPr>
            <w:r w:rsidRPr="00D90AA3">
              <w:rPr>
                <w:rFonts w:ascii="Arial Narrow" w:eastAsia="Times New Roman" w:hAnsi="Arial Narrow" w:cs="Times New Roman"/>
                <w:sz w:val="18"/>
                <w:szCs w:val="18"/>
                <w:lang w:val="es-AR" w:eastAsia="es-MX"/>
              </w:rPr>
              <w:t>GOLFO NORTE</w:t>
            </w:r>
          </w:p>
        </w:tc>
        <w:tc>
          <w:tcPr>
            <w:tcW w:w="1040" w:type="dxa"/>
            <w:tcBorders>
              <w:top w:val="nil"/>
              <w:left w:val="nil"/>
              <w:bottom w:val="nil"/>
              <w:right w:val="single" w:sz="8" w:space="0" w:color="auto"/>
            </w:tcBorders>
            <w:shd w:val="clear" w:color="auto" w:fill="auto"/>
            <w:vAlign w:val="center"/>
            <w:hideMark/>
          </w:tcPr>
          <w:p w:rsidR="00182992" w:rsidRPr="00D90AA3" w:rsidRDefault="00182992" w:rsidP="00F77D9A">
            <w:pPr>
              <w:spacing w:after="0" w:line="240" w:lineRule="auto"/>
              <w:jc w:val="center"/>
              <w:rPr>
                <w:rFonts w:ascii="Arial Narrow" w:eastAsia="Times New Roman" w:hAnsi="Arial Narrow" w:cs="Times New Roman"/>
                <w:sz w:val="18"/>
                <w:szCs w:val="18"/>
                <w:lang w:eastAsia="es-MX"/>
              </w:rPr>
            </w:pPr>
            <w:r w:rsidRPr="00D90AA3">
              <w:rPr>
                <w:rFonts w:ascii="Arial Narrow" w:eastAsia="Times New Roman" w:hAnsi="Arial Narrow" w:cs="Times New Roman"/>
                <w:sz w:val="18"/>
                <w:szCs w:val="18"/>
                <w:lang w:eastAsia="es-MX"/>
              </w:rPr>
              <w:t>4,892</w:t>
            </w:r>
          </w:p>
        </w:tc>
      </w:tr>
      <w:tr w:rsidR="00182992" w:rsidRPr="00D90AA3" w:rsidTr="00AF2F0E">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182992" w:rsidRPr="00D90AA3" w:rsidRDefault="00182992" w:rsidP="00814C47">
            <w:pPr>
              <w:spacing w:after="0" w:line="240" w:lineRule="auto"/>
              <w:jc w:val="both"/>
              <w:rPr>
                <w:rFonts w:ascii="Arial Narrow" w:eastAsia="Times New Roman" w:hAnsi="Arial Narrow" w:cs="Times New Roman"/>
                <w:sz w:val="18"/>
                <w:szCs w:val="18"/>
                <w:lang w:eastAsia="es-MX"/>
              </w:rPr>
            </w:pPr>
            <w:r w:rsidRPr="00D90AA3">
              <w:rPr>
                <w:rFonts w:ascii="Arial Narrow" w:eastAsia="Times New Roman" w:hAnsi="Arial Narrow" w:cs="Times New Roman"/>
                <w:sz w:val="18"/>
                <w:szCs w:val="18"/>
                <w:lang w:val="es-AR" w:eastAsia="es-MX"/>
              </w:rPr>
              <w:t>JALISCO</w:t>
            </w:r>
          </w:p>
        </w:tc>
        <w:tc>
          <w:tcPr>
            <w:tcW w:w="1040" w:type="dxa"/>
            <w:tcBorders>
              <w:top w:val="nil"/>
              <w:left w:val="nil"/>
              <w:bottom w:val="nil"/>
              <w:right w:val="single" w:sz="8" w:space="0" w:color="auto"/>
            </w:tcBorders>
            <w:shd w:val="clear" w:color="auto" w:fill="auto"/>
            <w:vAlign w:val="center"/>
            <w:hideMark/>
          </w:tcPr>
          <w:p w:rsidR="00182992" w:rsidRPr="00D90AA3" w:rsidRDefault="00182992" w:rsidP="00F77D9A">
            <w:pPr>
              <w:spacing w:after="0" w:line="240" w:lineRule="auto"/>
              <w:jc w:val="center"/>
              <w:rPr>
                <w:rFonts w:ascii="Arial Narrow" w:eastAsia="Times New Roman" w:hAnsi="Arial Narrow" w:cs="Times New Roman"/>
                <w:sz w:val="18"/>
                <w:szCs w:val="18"/>
                <w:lang w:eastAsia="es-MX"/>
              </w:rPr>
            </w:pPr>
            <w:r w:rsidRPr="00D90AA3">
              <w:rPr>
                <w:rFonts w:ascii="Arial Narrow" w:eastAsia="Times New Roman" w:hAnsi="Arial Narrow" w:cs="Times New Roman"/>
                <w:sz w:val="18"/>
                <w:szCs w:val="18"/>
                <w:lang w:eastAsia="es-MX"/>
              </w:rPr>
              <w:t>4,433</w:t>
            </w:r>
          </w:p>
        </w:tc>
      </w:tr>
      <w:tr w:rsidR="00182992" w:rsidRPr="00D90AA3" w:rsidTr="00AF2F0E">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182992" w:rsidRPr="00D90AA3" w:rsidRDefault="00182992" w:rsidP="00814C47">
            <w:pPr>
              <w:spacing w:after="0" w:line="240" w:lineRule="auto"/>
              <w:jc w:val="both"/>
              <w:rPr>
                <w:rFonts w:ascii="Arial Narrow" w:eastAsia="Times New Roman" w:hAnsi="Arial Narrow" w:cs="Times New Roman"/>
                <w:sz w:val="18"/>
                <w:szCs w:val="18"/>
                <w:lang w:eastAsia="es-MX"/>
              </w:rPr>
            </w:pPr>
            <w:r w:rsidRPr="00D90AA3">
              <w:rPr>
                <w:rFonts w:ascii="Arial Narrow" w:eastAsia="Times New Roman" w:hAnsi="Arial Narrow" w:cs="Times New Roman"/>
                <w:sz w:val="18"/>
                <w:szCs w:val="18"/>
                <w:lang w:val="es-AR" w:eastAsia="es-MX"/>
              </w:rPr>
              <w:t>NOROESTE</w:t>
            </w:r>
          </w:p>
        </w:tc>
        <w:tc>
          <w:tcPr>
            <w:tcW w:w="1040" w:type="dxa"/>
            <w:tcBorders>
              <w:top w:val="nil"/>
              <w:left w:val="nil"/>
              <w:bottom w:val="nil"/>
              <w:right w:val="single" w:sz="8" w:space="0" w:color="auto"/>
            </w:tcBorders>
            <w:shd w:val="clear" w:color="auto" w:fill="auto"/>
            <w:vAlign w:val="center"/>
            <w:hideMark/>
          </w:tcPr>
          <w:p w:rsidR="00182992" w:rsidRPr="00D90AA3" w:rsidRDefault="00182992" w:rsidP="00F77D9A">
            <w:pPr>
              <w:spacing w:after="0" w:line="240" w:lineRule="auto"/>
              <w:jc w:val="center"/>
              <w:rPr>
                <w:rFonts w:ascii="Arial Narrow" w:eastAsia="Times New Roman" w:hAnsi="Arial Narrow" w:cs="Times New Roman"/>
                <w:sz w:val="18"/>
                <w:szCs w:val="18"/>
                <w:lang w:eastAsia="es-MX"/>
              </w:rPr>
            </w:pPr>
            <w:r w:rsidRPr="00D90AA3">
              <w:rPr>
                <w:rFonts w:ascii="Arial Narrow" w:eastAsia="Times New Roman" w:hAnsi="Arial Narrow" w:cs="Times New Roman"/>
                <w:sz w:val="18"/>
                <w:szCs w:val="18"/>
                <w:lang w:eastAsia="es-MX"/>
              </w:rPr>
              <w:t>3,412</w:t>
            </w:r>
          </w:p>
        </w:tc>
      </w:tr>
      <w:tr w:rsidR="00182992" w:rsidRPr="00D90AA3" w:rsidTr="00AF2F0E">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182992" w:rsidRPr="00D90AA3" w:rsidRDefault="00182992" w:rsidP="00814C47">
            <w:pPr>
              <w:spacing w:after="0" w:line="240" w:lineRule="auto"/>
              <w:jc w:val="both"/>
              <w:rPr>
                <w:rFonts w:ascii="Arial Narrow" w:eastAsia="Times New Roman" w:hAnsi="Arial Narrow" w:cs="Times New Roman"/>
                <w:sz w:val="18"/>
                <w:szCs w:val="18"/>
                <w:lang w:eastAsia="es-MX"/>
              </w:rPr>
            </w:pPr>
            <w:r w:rsidRPr="00D90AA3">
              <w:rPr>
                <w:rFonts w:ascii="Arial Narrow" w:eastAsia="Times New Roman" w:hAnsi="Arial Narrow" w:cs="Times New Roman"/>
                <w:sz w:val="18"/>
                <w:szCs w:val="18"/>
                <w:lang w:val="es-AR" w:eastAsia="es-MX"/>
              </w:rPr>
              <w:t>NORTE</w:t>
            </w:r>
          </w:p>
        </w:tc>
        <w:tc>
          <w:tcPr>
            <w:tcW w:w="1040" w:type="dxa"/>
            <w:tcBorders>
              <w:top w:val="nil"/>
              <w:left w:val="nil"/>
              <w:bottom w:val="nil"/>
              <w:right w:val="single" w:sz="8" w:space="0" w:color="auto"/>
            </w:tcBorders>
            <w:shd w:val="clear" w:color="auto" w:fill="auto"/>
            <w:vAlign w:val="center"/>
            <w:hideMark/>
          </w:tcPr>
          <w:p w:rsidR="00182992" w:rsidRPr="00D90AA3" w:rsidRDefault="00182992" w:rsidP="00F77D9A">
            <w:pPr>
              <w:spacing w:after="0" w:line="240" w:lineRule="auto"/>
              <w:jc w:val="center"/>
              <w:rPr>
                <w:rFonts w:ascii="Arial Narrow" w:eastAsia="Times New Roman" w:hAnsi="Arial Narrow" w:cs="Times New Roman"/>
                <w:sz w:val="18"/>
                <w:szCs w:val="18"/>
                <w:lang w:eastAsia="es-MX"/>
              </w:rPr>
            </w:pPr>
            <w:r w:rsidRPr="00D90AA3">
              <w:rPr>
                <w:rFonts w:ascii="Arial Narrow" w:eastAsia="Times New Roman" w:hAnsi="Arial Narrow" w:cs="Times New Roman"/>
                <w:sz w:val="18"/>
                <w:szCs w:val="18"/>
                <w:lang w:eastAsia="es-MX"/>
              </w:rPr>
              <w:t>4,804</w:t>
            </w:r>
          </w:p>
        </w:tc>
      </w:tr>
      <w:tr w:rsidR="00182992" w:rsidRPr="00D90AA3" w:rsidTr="00AF2F0E">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182992" w:rsidRPr="00D90AA3" w:rsidRDefault="00182992" w:rsidP="00814C47">
            <w:pPr>
              <w:spacing w:after="0" w:line="240" w:lineRule="auto"/>
              <w:jc w:val="both"/>
              <w:rPr>
                <w:rFonts w:ascii="Arial Narrow" w:eastAsia="Times New Roman" w:hAnsi="Arial Narrow" w:cs="Times New Roman"/>
                <w:sz w:val="18"/>
                <w:szCs w:val="18"/>
                <w:lang w:eastAsia="es-MX"/>
              </w:rPr>
            </w:pPr>
            <w:r w:rsidRPr="00D90AA3">
              <w:rPr>
                <w:rFonts w:ascii="Arial Narrow" w:eastAsia="Times New Roman" w:hAnsi="Arial Narrow" w:cs="Times New Roman"/>
                <w:sz w:val="18"/>
                <w:szCs w:val="18"/>
                <w:lang w:val="es-AR" w:eastAsia="es-MX"/>
              </w:rPr>
              <w:t>SURESTE</w:t>
            </w:r>
          </w:p>
        </w:tc>
        <w:tc>
          <w:tcPr>
            <w:tcW w:w="1040" w:type="dxa"/>
            <w:tcBorders>
              <w:top w:val="nil"/>
              <w:left w:val="nil"/>
              <w:bottom w:val="nil"/>
              <w:right w:val="single" w:sz="8" w:space="0" w:color="auto"/>
            </w:tcBorders>
            <w:shd w:val="clear" w:color="auto" w:fill="auto"/>
            <w:vAlign w:val="center"/>
            <w:hideMark/>
          </w:tcPr>
          <w:p w:rsidR="00182992" w:rsidRPr="00D90AA3" w:rsidRDefault="00182992" w:rsidP="00F77D9A">
            <w:pPr>
              <w:spacing w:after="0" w:line="240" w:lineRule="auto"/>
              <w:jc w:val="center"/>
              <w:rPr>
                <w:rFonts w:ascii="Arial Narrow" w:eastAsia="Times New Roman" w:hAnsi="Arial Narrow" w:cs="Times New Roman"/>
                <w:sz w:val="18"/>
                <w:szCs w:val="18"/>
                <w:lang w:eastAsia="es-MX"/>
              </w:rPr>
            </w:pPr>
            <w:r w:rsidRPr="00D90AA3">
              <w:rPr>
                <w:rFonts w:ascii="Arial Narrow" w:eastAsia="Times New Roman" w:hAnsi="Arial Narrow" w:cs="Times New Roman"/>
                <w:sz w:val="18"/>
                <w:szCs w:val="18"/>
                <w:lang w:eastAsia="es-MX"/>
              </w:rPr>
              <w:t>4,560</w:t>
            </w:r>
          </w:p>
        </w:tc>
      </w:tr>
      <w:tr w:rsidR="00182992" w:rsidRPr="00D90AA3" w:rsidTr="00AF2F0E">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182992" w:rsidRPr="00D90AA3" w:rsidRDefault="00182992" w:rsidP="00814C47">
            <w:pPr>
              <w:spacing w:after="0" w:line="240" w:lineRule="auto"/>
              <w:jc w:val="both"/>
              <w:rPr>
                <w:rFonts w:ascii="Arial Narrow" w:eastAsia="Times New Roman" w:hAnsi="Arial Narrow" w:cs="Times New Roman"/>
                <w:sz w:val="18"/>
                <w:szCs w:val="18"/>
                <w:lang w:eastAsia="es-MX"/>
              </w:rPr>
            </w:pPr>
            <w:r w:rsidRPr="00D90AA3">
              <w:rPr>
                <w:rFonts w:ascii="Arial Narrow" w:eastAsia="Times New Roman" w:hAnsi="Arial Narrow" w:cs="Times New Roman"/>
                <w:sz w:val="18"/>
                <w:szCs w:val="18"/>
                <w:lang w:val="es-AR" w:eastAsia="es-MX"/>
              </w:rPr>
              <w:t>PENINSULAR</w:t>
            </w:r>
          </w:p>
        </w:tc>
        <w:tc>
          <w:tcPr>
            <w:tcW w:w="1040" w:type="dxa"/>
            <w:tcBorders>
              <w:top w:val="nil"/>
              <w:left w:val="nil"/>
              <w:bottom w:val="nil"/>
              <w:right w:val="single" w:sz="8" w:space="0" w:color="auto"/>
            </w:tcBorders>
            <w:shd w:val="clear" w:color="auto" w:fill="auto"/>
            <w:vAlign w:val="center"/>
            <w:hideMark/>
          </w:tcPr>
          <w:p w:rsidR="00182992" w:rsidRPr="00D90AA3" w:rsidRDefault="00182992" w:rsidP="00F77D9A">
            <w:pPr>
              <w:spacing w:after="0" w:line="240" w:lineRule="auto"/>
              <w:jc w:val="center"/>
              <w:rPr>
                <w:rFonts w:ascii="Arial Narrow" w:eastAsia="Times New Roman" w:hAnsi="Arial Narrow" w:cs="Times New Roman"/>
                <w:sz w:val="18"/>
                <w:szCs w:val="18"/>
                <w:lang w:eastAsia="es-MX"/>
              </w:rPr>
            </w:pPr>
            <w:r w:rsidRPr="00D90AA3">
              <w:rPr>
                <w:rFonts w:ascii="Arial Narrow" w:eastAsia="Times New Roman" w:hAnsi="Arial Narrow" w:cs="Times New Roman"/>
                <w:sz w:val="18"/>
                <w:szCs w:val="18"/>
                <w:lang w:eastAsia="es-MX"/>
              </w:rPr>
              <w:t>2,489</w:t>
            </w:r>
          </w:p>
        </w:tc>
      </w:tr>
      <w:tr w:rsidR="00182992" w:rsidRPr="00D90AA3" w:rsidTr="00AF2F0E">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182992" w:rsidRPr="00D90AA3" w:rsidRDefault="00182992" w:rsidP="00814C47">
            <w:pPr>
              <w:spacing w:after="0" w:line="240" w:lineRule="auto"/>
              <w:jc w:val="both"/>
              <w:rPr>
                <w:rFonts w:ascii="Arial Narrow" w:eastAsia="Times New Roman" w:hAnsi="Arial Narrow" w:cs="Times New Roman"/>
                <w:sz w:val="18"/>
                <w:szCs w:val="18"/>
                <w:lang w:eastAsia="es-MX"/>
              </w:rPr>
            </w:pPr>
            <w:r w:rsidRPr="00D90AA3">
              <w:rPr>
                <w:rFonts w:ascii="Arial Narrow" w:eastAsia="Times New Roman" w:hAnsi="Arial Narrow" w:cs="Times New Roman"/>
                <w:sz w:val="18"/>
                <w:szCs w:val="18"/>
                <w:lang w:val="es-AR" w:eastAsia="es-MX"/>
              </w:rPr>
              <w:t>ORIENTE</w:t>
            </w:r>
          </w:p>
        </w:tc>
        <w:tc>
          <w:tcPr>
            <w:tcW w:w="1040" w:type="dxa"/>
            <w:tcBorders>
              <w:top w:val="nil"/>
              <w:left w:val="nil"/>
              <w:bottom w:val="nil"/>
              <w:right w:val="single" w:sz="8" w:space="0" w:color="auto"/>
            </w:tcBorders>
            <w:shd w:val="clear" w:color="auto" w:fill="auto"/>
            <w:vAlign w:val="center"/>
            <w:hideMark/>
          </w:tcPr>
          <w:p w:rsidR="00182992" w:rsidRPr="00D90AA3" w:rsidRDefault="00182992" w:rsidP="00F77D9A">
            <w:pPr>
              <w:spacing w:after="0" w:line="240" w:lineRule="auto"/>
              <w:jc w:val="center"/>
              <w:rPr>
                <w:rFonts w:ascii="Arial Narrow" w:eastAsia="Times New Roman" w:hAnsi="Arial Narrow" w:cs="Times New Roman"/>
                <w:sz w:val="18"/>
                <w:szCs w:val="18"/>
                <w:lang w:eastAsia="es-MX"/>
              </w:rPr>
            </w:pPr>
            <w:r w:rsidRPr="00D90AA3">
              <w:rPr>
                <w:rFonts w:ascii="Arial Narrow" w:eastAsia="Times New Roman" w:hAnsi="Arial Narrow" w:cs="Times New Roman"/>
                <w:sz w:val="18"/>
                <w:szCs w:val="18"/>
                <w:lang w:eastAsia="es-MX"/>
              </w:rPr>
              <w:t>4,204</w:t>
            </w:r>
          </w:p>
        </w:tc>
      </w:tr>
      <w:tr w:rsidR="00182992" w:rsidRPr="00D90AA3" w:rsidTr="00AF2F0E">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182992" w:rsidRPr="00D90AA3" w:rsidRDefault="00182992" w:rsidP="00814C47">
            <w:pPr>
              <w:spacing w:after="0" w:line="240" w:lineRule="auto"/>
              <w:jc w:val="both"/>
              <w:rPr>
                <w:rFonts w:ascii="Arial Narrow" w:eastAsia="Times New Roman" w:hAnsi="Arial Narrow" w:cs="Times New Roman"/>
                <w:sz w:val="18"/>
                <w:szCs w:val="18"/>
                <w:lang w:eastAsia="es-MX"/>
              </w:rPr>
            </w:pPr>
            <w:r w:rsidRPr="00D90AA3">
              <w:rPr>
                <w:rFonts w:ascii="Arial Narrow" w:eastAsia="Times New Roman" w:hAnsi="Arial Narrow" w:cs="Times New Roman"/>
                <w:sz w:val="18"/>
                <w:szCs w:val="18"/>
                <w:lang w:val="es-AR" w:eastAsia="es-MX"/>
              </w:rPr>
              <w:t>GOLFO CENTRO</w:t>
            </w:r>
          </w:p>
        </w:tc>
        <w:tc>
          <w:tcPr>
            <w:tcW w:w="1040" w:type="dxa"/>
            <w:tcBorders>
              <w:top w:val="nil"/>
              <w:left w:val="nil"/>
              <w:bottom w:val="nil"/>
              <w:right w:val="single" w:sz="8" w:space="0" w:color="auto"/>
            </w:tcBorders>
            <w:shd w:val="clear" w:color="auto" w:fill="auto"/>
            <w:vAlign w:val="center"/>
            <w:hideMark/>
          </w:tcPr>
          <w:p w:rsidR="00182992" w:rsidRPr="00D90AA3" w:rsidRDefault="00182992" w:rsidP="00F77D9A">
            <w:pPr>
              <w:spacing w:after="0" w:line="240" w:lineRule="auto"/>
              <w:jc w:val="center"/>
              <w:rPr>
                <w:rFonts w:ascii="Arial Narrow" w:eastAsia="Times New Roman" w:hAnsi="Arial Narrow" w:cs="Times New Roman"/>
                <w:sz w:val="18"/>
                <w:szCs w:val="18"/>
                <w:lang w:eastAsia="es-MX"/>
              </w:rPr>
            </w:pPr>
            <w:r w:rsidRPr="00D90AA3">
              <w:rPr>
                <w:rFonts w:ascii="Arial Narrow" w:eastAsia="Times New Roman" w:hAnsi="Arial Narrow" w:cs="Times New Roman"/>
                <w:sz w:val="18"/>
                <w:szCs w:val="18"/>
                <w:lang w:eastAsia="es-MX"/>
              </w:rPr>
              <w:t>2,544</w:t>
            </w:r>
          </w:p>
        </w:tc>
      </w:tr>
      <w:tr w:rsidR="00182992" w:rsidRPr="00D90AA3" w:rsidTr="00AF2F0E">
        <w:trPr>
          <w:trHeight w:val="20"/>
          <w:jc w:val="center"/>
        </w:trPr>
        <w:tc>
          <w:tcPr>
            <w:tcW w:w="0" w:type="auto"/>
            <w:tcBorders>
              <w:top w:val="nil"/>
              <w:left w:val="single" w:sz="8" w:space="0" w:color="auto"/>
              <w:bottom w:val="nil"/>
              <w:right w:val="single" w:sz="8" w:space="0" w:color="auto"/>
            </w:tcBorders>
            <w:shd w:val="clear" w:color="auto" w:fill="auto"/>
            <w:vAlign w:val="center"/>
            <w:hideMark/>
          </w:tcPr>
          <w:p w:rsidR="00182992" w:rsidRPr="00D90AA3" w:rsidRDefault="00182992" w:rsidP="00814C47">
            <w:pPr>
              <w:spacing w:after="0" w:line="240" w:lineRule="auto"/>
              <w:jc w:val="both"/>
              <w:rPr>
                <w:rFonts w:ascii="Arial Narrow" w:eastAsia="Times New Roman" w:hAnsi="Arial Narrow" w:cs="Times New Roman"/>
                <w:sz w:val="18"/>
                <w:szCs w:val="18"/>
                <w:lang w:eastAsia="es-MX"/>
              </w:rPr>
            </w:pPr>
            <w:r w:rsidRPr="00D90AA3">
              <w:rPr>
                <w:rFonts w:ascii="Arial Narrow" w:eastAsia="Times New Roman" w:hAnsi="Arial Narrow" w:cs="Times New Roman"/>
                <w:sz w:val="18"/>
                <w:szCs w:val="18"/>
                <w:lang w:val="es-AR" w:eastAsia="es-MX"/>
              </w:rPr>
              <w:t>VALLE MEXICO NTE</w:t>
            </w:r>
          </w:p>
        </w:tc>
        <w:tc>
          <w:tcPr>
            <w:tcW w:w="1040" w:type="dxa"/>
            <w:tcBorders>
              <w:top w:val="nil"/>
              <w:left w:val="nil"/>
              <w:bottom w:val="nil"/>
              <w:right w:val="single" w:sz="8" w:space="0" w:color="auto"/>
            </w:tcBorders>
            <w:shd w:val="clear" w:color="auto" w:fill="auto"/>
            <w:vAlign w:val="center"/>
            <w:hideMark/>
          </w:tcPr>
          <w:p w:rsidR="00182992" w:rsidRPr="00D90AA3" w:rsidRDefault="00182992" w:rsidP="00F77D9A">
            <w:pPr>
              <w:spacing w:after="0" w:line="240" w:lineRule="auto"/>
              <w:jc w:val="center"/>
              <w:rPr>
                <w:rFonts w:ascii="Arial Narrow" w:eastAsia="Times New Roman" w:hAnsi="Arial Narrow" w:cs="Times New Roman"/>
                <w:sz w:val="18"/>
                <w:szCs w:val="18"/>
                <w:lang w:eastAsia="es-MX"/>
              </w:rPr>
            </w:pPr>
            <w:r w:rsidRPr="00D90AA3">
              <w:rPr>
                <w:rFonts w:ascii="Arial Narrow" w:eastAsia="Times New Roman" w:hAnsi="Arial Narrow" w:cs="Times New Roman"/>
                <w:sz w:val="18"/>
                <w:szCs w:val="18"/>
                <w:lang w:eastAsia="es-MX"/>
              </w:rPr>
              <w:t>3,546</w:t>
            </w:r>
          </w:p>
        </w:tc>
      </w:tr>
      <w:tr w:rsidR="00182992" w:rsidRPr="00D90AA3" w:rsidTr="00AF2F0E">
        <w:trPr>
          <w:trHeight w:val="20"/>
          <w:jc w:val="center"/>
        </w:trPr>
        <w:tc>
          <w:tcPr>
            <w:tcW w:w="0" w:type="auto"/>
            <w:tcBorders>
              <w:top w:val="nil"/>
              <w:left w:val="single" w:sz="8" w:space="0" w:color="auto"/>
              <w:bottom w:val="nil"/>
              <w:right w:val="single" w:sz="8" w:space="0" w:color="auto"/>
            </w:tcBorders>
            <w:shd w:val="clear" w:color="auto" w:fill="auto"/>
            <w:vAlign w:val="center"/>
            <w:hideMark/>
          </w:tcPr>
          <w:p w:rsidR="00182992" w:rsidRPr="00D90AA3" w:rsidRDefault="00182992" w:rsidP="00814C47">
            <w:pPr>
              <w:spacing w:after="0" w:line="240" w:lineRule="auto"/>
              <w:jc w:val="both"/>
              <w:rPr>
                <w:rFonts w:ascii="Arial Narrow" w:eastAsia="Times New Roman" w:hAnsi="Arial Narrow" w:cs="Times New Roman"/>
                <w:sz w:val="18"/>
                <w:szCs w:val="18"/>
                <w:lang w:eastAsia="es-MX"/>
              </w:rPr>
            </w:pPr>
            <w:r w:rsidRPr="00D90AA3">
              <w:rPr>
                <w:rFonts w:ascii="Arial Narrow" w:eastAsia="Times New Roman" w:hAnsi="Arial Narrow" w:cs="Times New Roman"/>
                <w:sz w:val="18"/>
                <w:szCs w:val="18"/>
                <w:lang w:eastAsia="es-MX"/>
              </w:rPr>
              <w:t>VALLE MEXICO CENT</w:t>
            </w:r>
          </w:p>
        </w:tc>
        <w:tc>
          <w:tcPr>
            <w:tcW w:w="1040" w:type="dxa"/>
            <w:tcBorders>
              <w:top w:val="nil"/>
              <w:left w:val="nil"/>
              <w:bottom w:val="nil"/>
              <w:right w:val="single" w:sz="8" w:space="0" w:color="auto"/>
            </w:tcBorders>
            <w:shd w:val="clear" w:color="auto" w:fill="auto"/>
            <w:vAlign w:val="center"/>
            <w:hideMark/>
          </w:tcPr>
          <w:p w:rsidR="00182992" w:rsidRPr="00D90AA3" w:rsidRDefault="00182992" w:rsidP="00F77D9A">
            <w:pPr>
              <w:spacing w:after="0" w:line="240" w:lineRule="auto"/>
              <w:jc w:val="center"/>
              <w:rPr>
                <w:rFonts w:ascii="Arial Narrow" w:eastAsia="Times New Roman" w:hAnsi="Arial Narrow" w:cs="Times New Roman"/>
                <w:sz w:val="18"/>
                <w:szCs w:val="18"/>
                <w:lang w:eastAsia="es-MX"/>
              </w:rPr>
            </w:pPr>
            <w:r w:rsidRPr="00D90AA3">
              <w:rPr>
                <w:rFonts w:ascii="Arial Narrow" w:eastAsia="Times New Roman" w:hAnsi="Arial Narrow" w:cs="Times New Roman"/>
                <w:sz w:val="18"/>
                <w:szCs w:val="18"/>
                <w:lang w:eastAsia="es-MX"/>
              </w:rPr>
              <w:t>2,315</w:t>
            </w:r>
          </w:p>
        </w:tc>
      </w:tr>
      <w:tr w:rsidR="00182992" w:rsidRPr="00D90AA3" w:rsidTr="00AF2F0E">
        <w:trPr>
          <w:trHeight w:val="20"/>
          <w:jc w:val="center"/>
        </w:trPr>
        <w:tc>
          <w:tcPr>
            <w:tcW w:w="0" w:type="auto"/>
            <w:tcBorders>
              <w:top w:val="nil"/>
              <w:left w:val="single" w:sz="8" w:space="0" w:color="auto"/>
              <w:bottom w:val="single" w:sz="4" w:space="0" w:color="auto"/>
              <w:right w:val="single" w:sz="8" w:space="0" w:color="auto"/>
            </w:tcBorders>
            <w:shd w:val="clear" w:color="auto" w:fill="auto"/>
            <w:vAlign w:val="center"/>
            <w:hideMark/>
          </w:tcPr>
          <w:p w:rsidR="00182992" w:rsidRPr="00D90AA3" w:rsidRDefault="00182992" w:rsidP="00814C47">
            <w:pPr>
              <w:spacing w:after="0" w:line="240" w:lineRule="auto"/>
              <w:jc w:val="both"/>
              <w:rPr>
                <w:rFonts w:ascii="Arial Narrow" w:eastAsia="Times New Roman" w:hAnsi="Arial Narrow" w:cs="Times New Roman"/>
                <w:sz w:val="18"/>
                <w:szCs w:val="18"/>
                <w:lang w:eastAsia="es-MX"/>
              </w:rPr>
            </w:pPr>
            <w:r w:rsidRPr="00D90AA3">
              <w:rPr>
                <w:rFonts w:ascii="Arial Narrow" w:eastAsia="Times New Roman" w:hAnsi="Arial Narrow" w:cs="Times New Roman"/>
                <w:sz w:val="18"/>
                <w:szCs w:val="18"/>
                <w:lang w:eastAsia="es-MX"/>
              </w:rPr>
              <w:t>VALLE MEXICO SUR</w:t>
            </w:r>
          </w:p>
        </w:tc>
        <w:tc>
          <w:tcPr>
            <w:tcW w:w="1040" w:type="dxa"/>
            <w:tcBorders>
              <w:top w:val="nil"/>
              <w:left w:val="nil"/>
              <w:bottom w:val="single" w:sz="4" w:space="0" w:color="auto"/>
              <w:right w:val="single" w:sz="8" w:space="0" w:color="auto"/>
            </w:tcBorders>
            <w:shd w:val="clear" w:color="auto" w:fill="auto"/>
            <w:vAlign w:val="center"/>
            <w:hideMark/>
          </w:tcPr>
          <w:p w:rsidR="00182992" w:rsidRPr="00D90AA3" w:rsidRDefault="00182992" w:rsidP="00F77D9A">
            <w:pPr>
              <w:spacing w:after="0" w:line="240" w:lineRule="auto"/>
              <w:jc w:val="center"/>
              <w:rPr>
                <w:rFonts w:ascii="Arial Narrow" w:eastAsia="Times New Roman" w:hAnsi="Arial Narrow" w:cs="Times New Roman"/>
                <w:sz w:val="18"/>
                <w:szCs w:val="18"/>
                <w:lang w:eastAsia="es-MX"/>
              </w:rPr>
            </w:pPr>
            <w:r w:rsidRPr="00D90AA3">
              <w:rPr>
                <w:rFonts w:ascii="Arial Narrow" w:eastAsia="Times New Roman" w:hAnsi="Arial Narrow" w:cs="Times New Roman"/>
                <w:sz w:val="18"/>
                <w:szCs w:val="18"/>
                <w:lang w:eastAsia="es-MX"/>
              </w:rPr>
              <w:t>3,129</w:t>
            </w:r>
          </w:p>
        </w:tc>
      </w:tr>
      <w:tr w:rsidR="00182992" w:rsidRPr="00D90AA3" w:rsidTr="00AF2F0E">
        <w:trPr>
          <w:trHeight w:val="20"/>
          <w:jc w:val="center"/>
        </w:trPr>
        <w:tc>
          <w:tcPr>
            <w:tcW w:w="0" w:type="auto"/>
            <w:tcBorders>
              <w:top w:val="single" w:sz="4" w:space="0" w:color="auto"/>
              <w:left w:val="single" w:sz="4" w:space="0" w:color="auto"/>
              <w:bottom w:val="single" w:sz="4" w:space="0" w:color="auto"/>
              <w:right w:val="single" w:sz="8" w:space="0" w:color="auto"/>
            </w:tcBorders>
            <w:shd w:val="clear" w:color="auto" w:fill="auto"/>
            <w:vAlign w:val="center"/>
            <w:hideMark/>
          </w:tcPr>
          <w:p w:rsidR="00182992" w:rsidRPr="00D90AA3" w:rsidRDefault="00182992" w:rsidP="00814C47">
            <w:pPr>
              <w:spacing w:after="0" w:line="240" w:lineRule="auto"/>
              <w:jc w:val="both"/>
              <w:rPr>
                <w:rFonts w:ascii="Arial Narrow" w:eastAsia="Times New Roman" w:hAnsi="Arial Narrow" w:cs="Times New Roman"/>
                <w:b/>
                <w:bCs/>
                <w:color w:val="000000"/>
                <w:sz w:val="18"/>
                <w:szCs w:val="18"/>
                <w:lang w:eastAsia="es-MX"/>
              </w:rPr>
            </w:pPr>
            <w:r w:rsidRPr="00D90AA3">
              <w:rPr>
                <w:rFonts w:ascii="Arial Narrow" w:eastAsia="Times New Roman" w:hAnsi="Arial Narrow" w:cs="Times New Roman"/>
                <w:b/>
                <w:bCs/>
                <w:color w:val="000000"/>
                <w:sz w:val="18"/>
                <w:szCs w:val="18"/>
                <w:lang w:val="es-AR" w:eastAsia="es-MX"/>
              </w:rPr>
              <w:t>TOTAL</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182992" w:rsidRPr="00D90AA3" w:rsidRDefault="00182992" w:rsidP="00F77D9A">
            <w:pPr>
              <w:spacing w:after="0" w:line="240" w:lineRule="auto"/>
              <w:jc w:val="center"/>
              <w:rPr>
                <w:rFonts w:ascii="Arial Narrow" w:eastAsia="Times New Roman" w:hAnsi="Arial Narrow" w:cs="Times New Roman"/>
                <w:b/>
                <w:bCs/>
                <w:color w:val="000000"/>
                <w:sz w:val="18"/>
                <w:szCs w:val="18"/>
                <w:lang w:eastAsia="es-MX"/>
              </w:rPr>
            </w:pPr>
            <w:r w:rsidRPr="00D90AA3">
              <w:rPr>
                <w:rFonts w:ascii="Arial Narrow" w:eastAsia="Times New Roman" w:hAnsi="Arial Narrow" w:cs="Times New Roman"/>
                <w:b/>
                <w:bCs/>
                <w:color w:val="000000"/>
                <w:sz w:val="18"/>
                <w:szCs w:val="18"/>
                <w:lang w:eastAsia="es-MX"/>
              </w:rPr>
              <w:t>57,555</w:t>
            </w:r>
          </w:p>
        </w:tc>
      </w:tr>
    </w:tbl>
    <w:p w:rsidR="00670FD1" w:rsidRPr="00670FD1" w:rsidRDefault="00670FD1" w:rsidP="00D27D18">
      <w:pPr>
        <w:spacing w:after="0" w:line="240" w:lineRule="auto"/>
        <w:contextualSpacing/>
        <w:jc w:val="both"/>
        <w:rPr>
          <w:rFonts w:ascii="Arial Narrow" w:hAnsi="Arial Narrow" w:cs="Arial"/>
        </w:rPr>
      </w:pPr>
    </w:p>
    <w:p w:rsidR="00A82A36" w:rsidRPr="00E805B8" w:rsidRDefault="00966923" w:rsidP="00E805B8">
      <w:pPr>
        <w:pStyle w:val="Prrafodelista"/>
        <w:keepNext/>
        <w:keepLines/>
        <w:numPr>
          <w:ilvl w:val="1"/>
          <w:numId w:val="15"/>
        </w:numPr>
        <w:spacing w:after="0" w:line="240" w:lineRule="auto"/>
        <w:ind w:hanging="644"/>
        <w:jc w:val="both"/>
        <w:outlineLvl w:val="0"/>
        <w:rPr>
          <w:rFonts w:ascii="Arial Narrow" w:eastAsiaTheme="majorEastAsia" w:hAnsi="Arial Narrow" w:cstheme="majorBidi"/>
          <w:b/>
          <w:bCs/>
          <w:color w:val="000000" w:themeColor="text1"/>
        </w:rPr>
      </w:pPr>
      <w:r w:rsidRPr="00E805B8">
        <w:rPr>
          <w:rFonts w:ascii="Arial Narrow" w:eastAsiaTheme="majorEastAsia" w:hAnsi="Arial Narrow" w:cstheme="majorBidi"/>
          <w:b/>
          <w:bCs/>
          <w:color w:val="000000" w:themeColor="text1"/>
        </w:rPr>
        <w:t xml:space="preserve">Costos de capital </w:t>
      </w:r>
    </w:p>
    <w:p w:rsidR="00084C4E" w:rsidRPr="00084C4E" w:rsidRDefault="00084C4E" w:rsidP="00084C4E">
      <w:pPr>
        <w:spacing w:after="200" w:line="240" w:lineRule="auto"/>
        <w:contextualSpacing/>
        <w:jc w:val="both"/>
        <w:rPr>
          <w:rFonts w:ascii="Arial Narrow" w:hAnsi="Arial Narrow"/>
          <w:b/>
        </w:rPr>
      </w:pPr>
    </w:p>
    <w:p w:rsidR="00164E24" w:rsidRPr="00814C47" w:rsidRDefault="00371D82" w:rsidP="00814C47">
      <w:pPr>
        <w:kinsoku w:val="0"/>
        <w:overflowPunct w:val="0"/>
        <w:spacing w:line="240" w:lineRule="auto"/>
        <w:contextualSpacing/>
        <w:jc w:val="both"/>
        <w:textAlignment w:val="baseline"/>
        <w:rPr>
          <w:rFonts w:ascii="Arial Narrow" w:hAnsi="Arial Narrow" w:cs="Arial"/>
        </w:rPr>
      </w:pPr>
      <w:r w:rsidRPr="00814C47">
        <w:rPr>
          <w:rFonts w:ascii="Arial Narrow" w:hAnsi="Arial Narrow" w:cs="Arial"/>
        </w:rPr>
        <w:t>Para e</w:t>
      </w:r>
      <w:r w:rsidR="00653377" w:rsidRPr="00814C47">
        <w:rPr>
          <w:rFonts w:ascii="Arial Narrow" w:hAnsi="Arial Narrow" w:cs="Arial"/>
        </w:rPr>
        <w:t xml:space="preserve">l </w:t>
      </w:r>
      <w:r w:rsidR="00ED0D59" w:rsidRPr="00814C47">
        <w:rPr>
          <w:rFonts w:ascii="Arial Narrow" w:hAnsi="Arial Narrow" w:cs="Arial"/>
        </w:rPr>
        <w:t>c</w:t>
      </w:r>
      <w:r w:rsidR="00C779B3">
        <w:rPr>
          <w:rFonts w:ascii="Arial Narrow" w:hAnsi="Arial Narrow" w:cs="Arial"/>
        </w:rPr>
        <w:t>álculo del costo de capital</w:t>
      </w:r>
      <w:r w:rsidR="00ED0D59" w:rsidRPr="00814C47">
        <w:rPr>
          <w:rFonts w:ascii="Arial Narrow" w:hAnsi="Arial Narrow" w:cs="Arial"/>
        </w:rPr>
        <w:t xml:space="preserve"> de cada una de las divis</w:t>
      </w:r>
      <w:r w:rsidR="00A40277" w:rsidRPr="00814C47">
        <w:rPr>
          <w:rFonts w:ascii="Arial Narrow" w:hAnsi="Arial Narrow" w:cs="Arial"/>
        </w:rPr>
        <w:t xml:space="preserve">iones de distribución, </w:t>
      </w:r>
      <w:r w:rsidRPr="00814C47">
        <w:rPr>
          <w:rFonts w:ascii="Arial Narrow" w:hAnsi="Arial Narrow" w:cs="Arial"/>
        </w:rPr>
        <w:t xml:space="preserve">se estimaron dos elementos: </w:t>
      </w:r>
    </w:p>
    <w:p w:rsidR="00164E24" w:rsidRPr="00814C47" w:rsidRDefault="00371D82" w:rsidP="00C779B3">
      <w:pPr>
        <w:pStyle w:val="Prrafodelista"/>
        <w:numPr>
          <w:ilvl w:val="0"/>
          <w:numId w:val="14"/>
        </w:numPr>
        <w:kinsoku w:val="0"/>
        <w:overflowPunct w:val="0"/>
        <w:spacing w:line="240" w:lineRule="auto"/>
        <w:ind w:left="630"/>
        <w:jc w:val="both"/>
        <w:textAlignment w:val="baseline"/>
        <w:rPr>
          <w:rFonts w:ascii="Arial Narrow" w:hAnsi="Arial Narrow" w:cs="Arial"/>
        </w:rPr>
      </w:pPr>
      <w:r w:rsidRPr="00814C47">
        <w:rPr>
          <w:rFonts w:ascii="Arial Narrow" w:hAnsi="Arial Narrow" w:cs="Arial"/>
        </w:rPr>
        <w:t xml:space="preserve">La base de capital, es decir el valor de los activos </w:t>
      </w:r>
      <w:r w:rsidR="00164E24" w:rsidRPr="00814C47">
        <w:rPr>
          <w:rFonts w:ascii="Arial Narrow" w:hAnsi="Arial Narrow" w:cs="Arial"/>
        </w:rPr>
        <w:t>utilizados</w:t>
      </w:r>
      <w:r w:rsidRPr="00814C47">
        <w:rPr>
          <w:rFonts w:ascii="Arial Narrow" w:hAnsi="Arial Narrow" w:cs="Arial"/>
        </w:rPr>
        <w:t xml:space="preserve"> para la actividad de distribución y </w:t>
      </w:r>
    </w:p>
    <w:p w:rsidR="00371D82" w:rsidRPr="00814C47" w:rsidRDefault="00371D82" w:rsidP="00C779B3">
      <w:pPr>
        <w:pStyle w:val="Prrafodelista"/>
        <w:numPr>
          <w:ilvl w:val="0"/>
          <w:numId w:val="14"/>
        </w:numPr>
        <w:kinsoku w:val="0"/>
        <w:overflowPunct w:val="0"/>
        <w:spacing w:line="240" w:lineRule="auto"/>
        <w:ind w:left="630"/>
        <w:jc w:val="both"/>
        <w:textAlignment w:val="baseline"/>
        <w:rPr>
          <w:rFonts w:ascii="Arial Narrow" w:hAnsi="Arial Narrow" w:cs="Arial"/>
        </w:rPr>
      </w:pPr>
      <w:r w:rsidRPr="00814C47">
        <w:rPr>
          <w:rFonts w:ascii="Arial Narrow" w:hAnsi="Arial Narrow" w:cs="Arial"/>
        </w:rPr>
        <w:t xml:space="preserve">La tasa de retorno a dicha base de capital, es decir el costo de oportunidad de ocupar los activos en otra actividad. </w:t>
      </w:r>
    </w:p>
    <w:p w:rsidR="00164E24" w:rsidRPr="00814C47" w:rsidRDefault="00164E24" w:rsidP="00814C47">
      <w:pPr>
        <w:pStyle w:val="Prrafodelista"/>
        <w:kinsoku w:val="0"/>
        <w:overflowPunct w:val="0"/>
        <w:spacing w:line="240" w:lineRule="auto"/>
        <w:ind w:left="2231"/>
        <w:jc w:val="both"/>
        <w:textAlignment w:val="baseline"/>
        <w:rPr>
          <w:rFonts w:ascii="Arial Narrow" w:hAnsi="Arial Narrow" w:cs="Arial"/>
        </w:rPr>
      </w:pPr>
    </w:p>
    <w:p w:rsidR="00371D82" w:rsidRPr="00E805B8" w:rsidRDefault="00837AAF" w:rsidP="00E805B8">
      <w:pPr>
        <w:pStyle w:val="Prrafodelista"/>
        <w:keepNext/>
        <w:keepLines/>
        <w:numPr>
          <w:ilvl w:val="2"/>
          <w:numId w:val="15"/>
        </w:numPr>
        <w:spacing w:after="0" w:line="240" w:lineRule="auto"/>
        <w:ind w:left="630" w:hanging="630"/>
        <w:jc w:val="both"/>
        <w:outlineLvl w:val="0"/>
        <w:rPr>
          <w:rFonts w:ascii="Arial Narrow" w:eastAsiaTheme="majorEastAsia" w:hAnsi="Arial Narrow" w:cstheme="majorBidi"/>
          <w:b/>
          <w:bCs/>
          <w:color w:val="000000" w:themeColor="text1"/>
        </w:rPr>
      </w:pPr>
      <w:r w:rsidRPr="00E805B8">
        <w:rPr>
          <w:rFonts w:ascii="Arial Narrow" w:eastAsiaTheme="majorEastAsia" w:hAnsi="Arial Narrow" w:cstheme="majorBidi"/>
          <w:b/>
          <w:bCs/>
          <w:color w:val="000000" w:themeColor="text1"/>
        </w:rPr>
        <w:t>Base de capital</w:t>
      </w:r>
    </w:p>
    <w:p w:rsidR="00A821D5" w:rsidRPr="00814C47" w:rsidRDefault="00371D82" w:rsidP="00814C47">
      <w:pPr>
        <w:kinsoku w:val="0"/>
        <w:overflowPunct w:val="0"/>
        <w:spacing w:line="240" w:lineRule="auto"/>
        <w:contextualSpacing/>
        <w:jc w:val="both"/>
        <w:textAlignment w:val="baseline"/>
        <w:rPr>
          <w:rFonts w:ascii="Arial Narrow" w:hAnsi="Arial Narrow"/>
        </w:rPr>
      </w:pPr>
      <w:r w:rsidRPr="00814C47">
        <w:rPr>
          <w:rFonts w:ascii="Arial Narrow" w:hAnsi="Arial Narrow" w:cs="Arial"/>
        </w:rPr>
        <w:t>Se definió</w:t>
      </w:r>
      <w:r w:rsidR="00A40277" w:rsidRPr="00814C47">
        <w:rPr>
          <w:rFonts w:ascii="Arial Narrow" w:hAnsi="Arial Narrow" w:cs="Arial"/>
        </w:rPr>
        <w:t xml:space="preserve"> como base de capital regulado </w:t>
      </w:r>
      <w:r w:rsidR="00ED0D59" w:rsidRPr="00814C47">
        <w:rPr>
          <w:rFonts w:ascii="Arial Narrow" w:hAnsi="Arial Narrow" w:cs="Arial"/>
        </w:rPr>
        <w:t>el valor a nuevo de reemplazo de los activos utilizados pa</w:t>
      </w:r>
      <w:r w:rsidR="00C779B3">
        <w:rPr>
          <w:rFonts w:ascii="Arial Narrow" w:hAnsi="Arial Narrow" w:cs="Arial"/>
        </w:rPr>
        <w:t>ra la actividad de Distribución. E</w:t>
      </w:r>
      <w:r w:rsidR="00A40277" w:rsidRPr="00814C47">
        <w:rPr>
          <w:rFonts w:ascii="Arial Narrow" w:hAnsi="Arial Narrow" w:cs="Arial"/>
        </w:rPr>
        <w:t xml:space="preserve">sta </w:t>
      </w:r>
      <w:r w:rsidR="00084C4E">
        <w:rPr>
          <w:rFonts w:ascii="Arial Narrow" w:hAnsi="Arial Narrow" w:cs="Arial"/>
        </w:rPr>
        <w:t xml:space="preserve">metodología </w:t>
      </w:r>
      <w:r w:rsidR="00A40277" w:rsidRPr="00814C47">
        <w:rPr>
          <w:rFonts w:ascii="Arial Narrow" w:hAnsi="Arial Narrow" w:cs="Arial"/>
        </w:rPr>
        <w:t xml:space="preserve">consiste en </w:t>
      </w:r>
      <w:r w:rsidR="00ED0D59" w:rsidRPr="00814C47">
        <w:rPr>
          <w:rFonts w:ascii="Arial Narrow" w:hAnsi="Arial Narrow" w:cs="Arial"/>
        </w:rPr>
        <w:t xml:space="preserve">valorizar a nuevo las instalaciones </w:t>
      </w:r>
      <w:r w:rsidR="004C4EC5">
        <w:rPr>
          <w:rFonts w:ascii="Arial Narrow" w:hAnsi="Arial Narrow" w:cs="Arial"/>
        </w:rPr>
        <w:t xml:space="preserve">declaradas </w:t>
      </w:r>
      <w:r w:rsidR="00084C4E">
        <w:rPr>
          <w:rFonts w:ascii="Arial Narrow" w:hAnsi="Arial Narrow" w:cs="Arial"/>
        </w:rPr>
        <w:t xml:space="preserve">por </w:t>
      </w:r>
      <w:r w:rsidR="00C779B3">
        <w:rPr>
          <w:rFonts w:ascii="Arial Narrow" w:hAnsi="Arial Narrow" w:cs="Arial"/>
        </w:rPr>
        <w:t>la CFE para cada división de D</w:t>
      </w:r>
      <w:r w:rsidR="00084C4E">
        <w:rPr>
          <w:rFonts w:ascii="Arial Narrow" w:hAnsi="Arial Narrow" w:cs="Arial"/>
        </w:rPr>
        <w:t>istribución</w:t>
      </w:r>
      <w:r w:rsidR="00EB2139" w:rsidRPr="00814C47">
        <w:rPr>
          <w:rFonts w:ascii="Arial Narrow" w:hAnsi="Arial Narrow" w:cs="Arial"/>
        </w:rPr>
        <w:t xml:space="preserve"> </w:t>
      </w:r>
      <w:r w:rsidR="00ED0D59" w:rsidRPr="00814C47">
        <w:rPr>
          <w:rFonts w:ascii="Arial Narrow" w:hAnsi="Arial Narrow" w:cs="Arial"/>
        </w:rPr>
        <w:t>utilizando costos estándares.</w:t>
      </w:r>
      <w:r w:rsidRPr="00814C47">
        <w:rPr>
          <w:rFonts w:ascii="Arial Narrow" w:eastAsiaTheme="minorEastAsia" w:hAnsi="Arial Narrow" w:cs="Helvetica"/>
          <w:color w:val="000000"/>
          <w:lang w:val="es-AR" w:eastAsia="es-MX"/>
        </w:rPr>
        <w:t xml:space="preserve"> </w:t>
      </w:r>
      <w:r w:rsidR="00A821D5" w:rsidRPr="00814C47">
        <w:rPr>
          <w:rFonts w:ascii="Arial Narrow" w:eastAsiaTheme="minorEastAsia" w:hAnsi="Arial Narrow" w:cs="Helvetica"/>
          <w:color w:val="000000"/>
          <w:lang w:val="es-AR" w:eastAsia="es-MX"/>
        </w:rPr>
        <w:t xml:space="preserve">Es decir, </w:t>
      </w:r>
      <w:r w:rsidR="00EB2139" w:rsidRPr="00814C47">
        <w:rPr>
          <w:rFonts w:ascii="Arial Narrow" w:eastAsiaTheme="minorEastAsia" w:hAnsi="Arial Narrow" w:cs="Helvetica"/>
          <w:color w:val="000000"/>
          <w:lang w:val="es-AR" w:eastAsia="es-MX"/>
        </w:rPr>
        <w:t xml:space="preserve">el </w:t>
      </w:r>
      <w:r w:rsidR="00C779B3">
        <w:rPr>
          <w:rFonts w:ascii="Arial Narrow" w:eastAsiaTheme="minorEastAsia" w:hAnsi="Arial Narrow" w:cs="Helvetica"/>
          <w:color w:val="000000"/>
          <w:lang w:val="es-AR" w:eastAsia="es-MX"/>
        </w:rPr>
        <w:t>Valor Nuevo de R</w:t>
      </w:r>
      <w:r w:rsidR="004E1EFA">
        <w:rPr>
          <w:rFonts w:ascii="Arial Narrow" w:eastAsiaTheme="minorEastAsia" w:hAnsi="Arial Narrow" w:cs="Helvetica"/>
          <w:color w:val="000000"/>
          <w:lang w:val="es-AR" w:eastAsia="es-MX"/>
        </w:rPr>
        <w:t>emplazo (</w:t>
      </w:r>
      <w:r w:rsidR="00EB2139" w:rsidRPr="00814C47">
        <w:rPr>
          <w:rFonts w:ascii="Arial Narrow" w:eastAsiaTheme="minorEastAsia" w:hAnsi="Arial Narrow" w:cs="Helvetica"/>
          <w:color w:val="000000"/>
          <w:lang w:val="es-AR" w:eastAsia="es-MX"/>
        </w:rPr>
        <w:t>VNR</w:t>
      </w:r>
      <w:r w:rsidR="004E1EFA">
        <w:rPr>
          <w:rFonts w:ascii="Arial Narrow" w:eastAsiaTheme="minorEastAsia" w:hAnsi="Arial Narrow" w:cs="Helvetica"/>
          <w:color w:val="000000"/>
          <w:lang w:val="es-AR" w:eastAsia="es-MX"/>
        </w:rPr>
        <w:t>)</w:t>
      </w:r>
      <w:r w:rsidR="00EB2139" w:rsidRPr="00814C47">
        <w:rPr>
          <w:rFonts w:ascii="Arial Narrow" w:eastAsiaTheme="minorEastAsia" w:hAnsi="Arial Narrow" w:cs="Helvetica"/>
          <w:color w:val="000000"/>
          <w:lang w:val="es-AR" w:eastAsia="es-MX"/>
        </w:rPr>
        <w:t xml:space="preserve"> </w:t>
      </w:r>
      <w:r w:rsidR="00A821D5" w:rsidRPr="00814C47">
        <w:rPr>
          <w:rFonts w:ascii="Arial Narrow" w:hAnsi="Arial Narrow"/>
        </w:rPr>
        <w:t>representa el costo actual de adquisición de nuevas instalaciones y equipos, que permitan ofrecer un servicio idéntico al proporcionado por las ins</w:t>
      </w:r>
      <w:r w:rsidR="00EB2139" w:rsidRPr="00814C47">
        <w:rPr>
          <w:rFonts w:ascii="Arial Narrow" w:hAnsi="Arial Narrow"/>
        </w:rPr>
        <w:t>talaciones existentes empleando</w:t>
      </w:r>
      <w:r w:rsidR="00A821D5" w:rsidRPr="00814C47">
        <w:rPr>
          <w:rFonts w:ascii="Arial Narrow" w:hAnsi="Arial Narrow"/>
        </w:rPr>
        <w:t xml:space="preserve"> la tecnología actual al mínimo costo</w:t>
      </w:r>
      <w:r w:rsidR="00084C4E">
        <w:rPr>
          <w:rFonts w:ascii="Arial Narrow" w:hAnsi="Arial Narrow"/>
        </w:rPr>
        <w:t>.</w:t>
      </w:r>
    </w:p>
    <w:p w:rsidR="00EF53DA" w:rsidRPr="00814C47" w:rsidRDefault="00EF53DA" w:rsidP="00814C47">
      <w:pPr>
        <w:kinsoku w:val="0"/>
        <w:overflowPunct w:val="0"/>
        <w:spacing w:line="240" w:lineRule="auto"/>
        <w:contextualSpacing/>
        <w:jc w:val="both"/>
        <w:textAlignment w:val="baseline"/>
        <w:rPr>
          <w:rFonts w:ascii="Arial Narrow" w:hAnsi="Arial Narrow"/>
        </w:rPr>
      </w:pPr>
    </w:p>
    <w:p w:rsidR="00EF53DA" w:rsidRPr="00814C47" w:rsidRDefault="00EB2139" w:rsidP="00814C47">
      <w:pPr>
        <w:kinsoku w:val="0"/>
        <w:overflowPunct w:val="0"/>
        <w:spacing w:line="240" w:lineRule="auto"/>
        <w:contextualSpacing/>
        <w:jc w:val="both"/>
        <w:textAlignment w:val="baseline"/>
        <w:rPr>
          <w:rFonts w:ascii="Arial Narrow" w:eastAsiaTheme="minorEastAsia" w:hAnsi="Arial Narrow" w:cs="Helvetica"/>
          <w:color w:val="000000"/>
          <w:lang w:val="es-AR" w:eastAsia="es-MX"/>
        </w:rPr>
      </w:pPr>
      <w:r w:rsidRPr="00814C47">
        <w:rPr>
          <w:rFonts w:ascii="Arial Narrow" w:eastAsiaTheme="minorEastAsia" w:hAnsi="Arial Narrow" w:cs="Helvetica"/>
          <w:color w:val="000000"/>
          <w:lang w:val="es-AR" w:eastAsia="es-MX"/>
        </w:rPr>
        <w:t xml:space="preserve">Se estimó el </w:t>
      </w:r>
      <w:r w:rsidR="004E1EFA">
        <w:rPr>
          <w:rFonts w:ascii="Arial Narrow" w:eastAsiaTheme="minorEastAsia" w:hAnsi="Arial Narrow" w:cs="Helvetica"/>
          <w:color w:val="000000"/>
          <w:lang w:val="es-AR" w:eastAsia="es-MX"/>
        </w:rPr>
        <w:t>VNR</w:t>
      </w:r>
      <w:r w:rsidRPr="00814C47">
        <w:rPr>
          <w:rFonts w:ascii="Arial Narrow" w:eastAsiaTheme="minorEastAsia" w:hAnsi="Arial Narrow" w:cs="Helvetica"/>
          <w:color w:val="000000"/>
          <w:lang w:val="es-AR" w:eastAsia="es-MX"/>
        </w:rPr>
        <w:t xml:space="preserve"> a partir de un estud</w:t>
      </w:r>
      <w:r w:rsidR="00084C4E">
        <w:rPr>
          <w:rFonts w:ascii="Arial Narrow" w:eastAsiaTheme="minorEastAsia" w:hAnsi="Arial Narrow" w:cs="Helvetica"/>
          <w:color w:val="000000"/>
          <w:lang w:val="es-AR" w:eastAsia="es-MX"/>
        </w:rPr>
        <w:t xml:space="preserve">io tarifario realizado en 2008 y se actualizó </w:t>
      </w:r>
      <w:r w:rsidRPr="00814C47">
        <w:rPr>
          <w:rFonts w:ascii="Arial Narrow" w:eastAsiaTheme="minorEastAsia" w:hAnsi="Arial Narrow" w:cs="Helvetica"/>
          <w:color w:val="000000"/>
          <w:lang w:val="es-AR" w:eastAsia="es-MX"/>
        </w:rPr>
        <w:t xml:space="preserve">a 2014 considerando información del catálogo de precios de CFE logrando así una actualización de </w:t>
      </w:r>
      <w:r w:rsidR="00EF53DA" w:rsidRPr="00814C47">
        <w:rPr>
          <w:rFonts w:ascii="Arial Narrow" w:eastAsiaTheme="minorEastAsia" w:hAnsi="Arial Narrow" w:cs="Helvetica"/>
          <w:color w:val="000000"/>
          <w:lang w:val="es-AR" w:eastAsia="es-MX"/>
        </w:rPr>
        <w:t>los principales componentes</w:t>
      </w:r>
      <w:r w:rsidRPr="00814C47">
        <w:rPr>
          <w:rFonts w:ascii="Arial Narrow" w:eastAsiaTheme="minorEastAsia" w:hAnsi="Arial Narrow" w:cs="Helvetica"/>
          <w:color w:val="000000"/>
          <w:lang w:val="es-AR" w:eastAsia="es-MX"/>
        </w:rPr>
        <w:t xml:space="preserve"> de cada rubro d</w:t>
      </w:r>
      <w:r w:rsidR="004E1EFA">
        <w:rPr>
          <w:rFonts w:ascii="Arial Narrow" w:eastAsiaTheme="minorEastAsia" w:hAnsi="Arial Narrow" w:cs="Helvetica"/>
          <w:color w:val="000000"/>
          <w:lang w:val="es-AR" w:eastAsia="es-MX"/>
        </w:rPr>
        <w:t xml:space="preserve">el VNR: </w:t>
      </w:r>
      <w:r w:rsidR="00EF53DA" w:rsidRPr="00814C47">
        <w:rPr>
          <w:rFonts w:ascii="Arial Narrow" w:eastAsiaTheme="minorEastAsia" w:hAnsi="Arial Narrow" w:cs="Helvetica"/>
          <w:color w:val="000000"/>
          <w:lang w:val="es-AR" w:eastAsia="es-MX"/>
        </w:rPr>
        <w:t>subestaciones A</w:t>
      </w:r>
      <w:r w:rsidR="00022A87">
        <w:rPr>
          <w:rFonts w:ascii="Arial Narrow" w:eastAsiaTheme="minorEastAsia" w:hAnsi="Arial Narrow" w:cs="Helvetica"/>
          <w:color w:val="000000"/>
          <w:lang w:val="es-AR" w:eastAsia="es-MX"/>
        </w:rPr>
        <w:t xml:space="preserve">lta </w:t>
      </w:r>
      <w:r w:rsidR="00EF53DA" w:rsidRPr="00814C47">
        <w:rPr>
          <w:rFonts w:ascii="Arial Narrow" w:eastAsiaTheme="minorEastAsia" w:hAnsi="Arial Narrow" w:cs="Helvetica"/>
          <w:color w:val="000000"/>
          <w:lang w:val="es-AR" w:eastAsia="es-MX"/>
        </w:rPr>
        <w:t>T</w:t>
      </w:r>
      <w:r w:rsidR="00022A87">
        <w:rPr>
          <w:rFonts w:ascii="Arial Narrow" w:eastAsiaTheme="minorEastAsia" w:hAnsi="Arial Narrow" w:cs="Helvetica"/>
          <w:color w:val="000000"/>
          <w:lang w:val="es-AR" w:eastAsia="es-MX"/>
        </w:rPr>
        <w:t>ensión (AT)</w:t>
      </w:r>
      <w:r w:rsidR="00EF53DA" w:rsidRPr="00814C47">
        <w:rPr>
          <w:rFonts w:ascii="Arial Narrow" w:eastAsiaTheme="minorEastAsia" w:hAnsi="Arial Narrow" w:cs="Helvetica"/>
          <w:color w:val="000000"/>
          <w:lang w:val="es-AR" w:eastAsia="es-MX"/>
        </w:rPr>
        <w:t>/MT, líneas</w:t>
      </w:r>
      <w:r w:rsidR="00F71012">
        <w:rPr>
          <w:rFonts w:ascii="Arial Narrow" w:eastAsiaTheme="minorEastAsia" w:hAnsi="Arial Narrow" w:cs="Helvetica"/>
          <w:color w:val="000000"/>
          <w:lang w:val="es-AR" w:eastAsia="es-MX"/>
        </w:rPr>
        <w:t xml:space="preserve"> y cabl</w:t>
      </w:r>
      <w:r w:rsidR="00EF53DA" w:rsidRPr="00814C47">
        <w:rPr>
          <w:rFonts w:ascii="Arial Narrow" w:eastAsiaTheme="minorEastAsia" w:hAnsi="Arial Narrow" w:cs="Helvetica"/>
          <w:color w:val="000000"/>
          <w:lang w:val="es-AR" w:eastAsia="es-MX"/>
        </w:rPr>
        <w:t>es de</w:t>
      </w:r>
      <w:r w:rsidRPr="00814C47">
        <w:rPr>
          <w:rFonts w:ascii="Arial Narrow" w:eastAsiaTheme="minorEastAsia" w:hAnsi="Arial Narrow" w:cs="Helvetica"/>
          <w:color w:val="000000"/>
          <w:lang w:val="es-AR" w:eastAsia="es-MX"/>
        </w:rPr>
        <w:t xml:space="preserve"> MT, transformadores M</w:t>
      </w:r>
      <w:r w:rsidR="00EF53DA" w:rsidRPr="00814C47">
        <w:rPr>
          <w:rFonts w:ascii="Arial Narrow" w:eastAsiaTheme="minorEastAsia" w:hAnsi="Arial Narrow" w:cs="Helvetica"/>
          <w:color w:val="000000"/>
          <w:lang w:val="es-AR" w:eastAsia="es-MX"/>
        </w:rPr>
        <w:t>T/BT, y líneas y cables de</w:t>
      </w:r>
      <w:r w:rsidR="004E1EFA">
        <w:rPr>
          <w:rFonts w:ascii="Arial Narrow" w:eastAsiaTheme="minorEastAsia" w:hAnsi="Arial Narrow" w:cs="Helvetica"/>
          <w:color w:val="000000"/>
          <w:lang w:val="es-AR" w:eastAsia="es-MX"/>
        </w:rPr>
        <w:t xml:space="preserve"> BT</w:t>
      </w:r>
      <w:r w:rsidRPr="00814C47">
        <w:rPr>
          <w:rFonts w:ascii="Arial Narrow" w:eastAsiaTheme="minorEastAsia" w:hAnsi="Arial Narrow" w:cs="Helvetica"/>
          <w:color w:val="000000"/>
          <w:lang w:val="es-AR" w:eastAsia="es-MX"/>
        </w:rPr>
        <w:t xml:space="preserve">. </w:t>
      </w:r>
    </w:p>
    <w:p w:rsidR="00EB2139" w:rsidRPr="004E1EFA" w:rsidRDefault="00EB2139" w:rsidP="00814C47">
      <w:pPr>
        <w:kinsoku w:val="0"/>
        <w:overflowPunct w:val="0"/>
        <w:spacing w:line="240" w:lineRule="auto"/>
        <w:contextualSpacing/>
        <w:jc w:val="both"/>
        <w:textAlignment w:val="baseline"/>
        <w:rPr>
          <w:rFonts w:ascii="Arial Narrow" w:hAnsi="Arial Narrow"/>
          <w:lang w:val="es-AR"/>
        </w:rPr>
      </w:pPr>
    </w:p>
    <w:p w:rsidR="00DC62DF" w:rsidRPr="00814C47" w:rsidRDefault="00DC62DF" w:rsidP="00814C47">
      <w:pPr>
        <w:spacing w:after="0" w:line="240" w:lineRule="auto"/>
        <w:jc w:val="both"/>
        <w:rPr>
          <w:rFonts w:ascii="Arial Narrow" w:hAnsi="Arial Narrow"/>
        </w:rPr>
      </w:pPr>
      <w:r w:rsidRPr="00814C47">
        <w:rPr>
          <w:rFonts w:ascii="Arial Narrow" w:hAnsi="Arial Narrow"/>
        </w:rPr>
        <w:t xml:space="preserve">Para </w:t>
      </w:r>
      <w:r w:rsidR="00EB2139" w:rsidRPr="00814C47">
        <w:rPr>
          <w:rFonts w:ascii="Arial Narrow" w:hAnsi="Arial Narrow"/>
        </w:rPr>
        <w:t>calcular el VNR adaptado</w:t>
      </w:r>
      <w:r w:rsidRPr="00814C47">
        <w:rPr>
          <w:rFonts w:ascii="Arial Narrow" w:hAnsi="Arial Narrow"/>
        </w:rPr>
        <w:t xml:space="preserve"> a 2014</w:t>
      </w:r>
      <w:r w:rsidR="00EB2139" w:rsidRPr="00814C47">
        <w:rPr>
          <w:rFonts w:ascii="Arial Narrow" w:hAnsi="Arial Narrow"/>
        </w:rPr>
        <w:t xml:space="preserve">, se </w:t>
      </w:r>
      <w:r w:rsidR="004E1EFA">
        <w:rPr>
          <w:rFonts w:ascii="Arial Narrow" w:hAnsi="Arial Narrow"/>
        </w:rPr>
        <w:t>determinó</w:t>
      </w:r>
      <w:r w:rsidRPr="00814C47">
        <w:rPr>
          <w:rFonts w:ascii="Arial Narrow" w:hAnsi="Arial Narrow"/>
        </w:rPr>
        <w:t xml:space="preserve"> </w:t>
      </w:r>
      <w:r w:rsidR="00EF53DA" w:rsidRPr="00814C47">
        <w:rPr>
          <w:rFonts w:ascii="Arial Narrow" w:hAnsi="Arial Narrow"/>
        </w:rPr>
        <w:t>la</w:t>
      </w:r>
      <w:r w:rsidRPr="00814C47">
        <w:rPr>
          <w:rFonts w:ascii="Arial Narrow" w:hAnsi="Arial Narrow"/>
        </w:rPr>
        <w:t xml:space="preserve"> cantidad</w:t>
      </w:r>
      <w:r w:rsidR="00EB2139" w:rsidRPr="00814C47">
        <w:rPr>
          <w:rFonts w:ascii="Arial Narrow" w:hAnsi="Arial Narrow"/>
        </w:rPr>
        <w:t xml:space="preserve"> de instalaciones asociadas a las</w:t>
      </w:r>
      <w:r w:rsidRPr="00814C47">
        <w:rPr>
          <w:rFonts w:ascii="Arial Narrow" w:hAnsi="Arial Narrow"/>
        </w:rPr>
        <w:t xml:space="preserve"> etapas de MT y BT de acuerdo </w:t>
      </w:r>
      <w:r w:rsidR="004C4EC5">
        <w:rPr>
          <w:rFonts w:ascii="Arial Narrow" w:hAnsi="Arial Narrow"/>
        </w:rPr>
        <w:t>con</w:t>
      </w:r>
      <w:r w:rsidR="00EF53DA" w:rsidRPr="00814C47">
        <w:rPr>
          <w:rFonts w:ascii="Arial Narrow" w:hAnsi="Arial Narrow"/>
        </w:rPr>
        <w:t xml:space="preserve"> la demanda </w:t>
      </w:r>
      <w:r w:rsidR="004E1EFA">
        <w:rPr>
          <w:rFonts w:ascii="Arial Narrow" w:hAnsi="Arial Narrow"/>
        </w:rPr>
        <w:t>del servicio de Distribución en</w:t>
      </w:r>
      <w:r w:rsidR="00EF53DA" w:rsidRPr="00814C47">
        <w:rPr>
          <w:rFonts w:ascii="Arial Narrow" w:hAnsi="Arial Narrow"/>
        </w:rPr>
        <w:t xml:space="preserve"> 2014.</w:t>
      </w:r>
      <w:r w:rsidRPr="00814C47">
        <w:rPr>
          <w:rFonts w:ascii="Arial Narrow" w:hAnsi="Arial Narrow"/>
        </w:rPr>
        <w:t xml:space="preserve"> Los distintos tipos de activos fueron ajustados considerando las inversiones reales realizadas en el período 2008-2014. Para esto, se consideró información de activos físicos remitida por </w:t>
      </w:r>
      <w:r w:rsidR="004E1EFA">
        <w:rPr>
          <w:rFonts w:ascii="Arial Narrow" w:hAnsi="Arial Narrow"/>
        </w:rPr>
        <w:t>la CFE. Ejemplo de lo anterior son</w:t>
      </w:r>
      <w:r w:rsidRPr="00814C47">
        <w:rPr>
          <w:rFonts w:ascii="Arial Narrow" w:hAnsi="Arial Narrow"/>
        </w:rPr>
        <w:t xml:space="preserve"> los medidores y acometidas</w:t>
      </w:r>
      <w:r w:rsidR="004E1EFA">
        <w:rPr>
          <w:rFonts w:ascii="Arial Narrow" w:hAnsi="Arial Narrow"/>
        </w:rPr>
        <w:t>, que</w:t>
      </w:r>
      <w:r w:rsidRPr="00814C47">
        <w:rPr>
          <w:rFonts w:ascii="Arial Narrow" w:hAnsi="Arial Narrow"/>
        </w:rPr>
        <w:t xml:space="preserve"> fueron ajustados considerando la tasa acumulada de crecimiento de la cantidad de clientes entre 2008 y 2014.</w:t>
      </w:r>
    </w:p>
    <w:p w:rsidR="00084C4E" w:rsidRDefault="00084C4E" w:rsidP="004E1EFA">
      <w:pPr>
        <w:spacing w:after="0" w:line="240" w:lineRule="auto"/>
        <w:jc w:val="both"/>
        <w:rPr>
          <w:rFonts w:ascii="Arial Narrow" w:hAnsi="Arial Narrow"/>
        </w:rPr>
      </w:pPr>
    </w:p>
    <w:p w:rsidR="00F71012" w:rsidRPr="00F71012" w:rsidRDefault="00EF53DA" w:rsidP="00E805B8">
      <w:pPr>
        <w:spacing w:line="240" w:lineRule="auto"/>
        <w:jc w:val="both"/>
        <w:rPr>
          <w:rFonts w:ascii="Arial Narrow" w:hAnsi="Arial Narrow"/>
        </w:rPr>
      </w:pPr>
      <w:r w:rsidRPr="00814C47">
        <w:rPr>
          <w:rFonts w:ascii="Arial Narrow" w:hAnsi="Arial Narrow"/>
        </w:rPr>
        <w:t xml:space="preserve">Una vez definida la cantidad de activos, estos se multiplicaron por </w:t>
      </w:r>
      <w:r w:rsidR="00DC62DF" w:rsidRPr="00814C47">
        <w:rPr>
          <w:rFonts w:ascii="Arial Narrow" w:hAnsi="Arial Narrow"/>
        </w:rPr>
        <w:t xml:space="preserve">el </w:t>
      </w:r>
      <w:r w:rsidR="004E1EFA">
        <w:rPr>
          <w:rFonts w:ascii="Arial Narrow" w:hAnsi="Arial Narrow"/>
        </w:rPr>
        <w:t>precio real</w:t>
      </w:r>
      <w:r w:rsidR="00084C4E">
        <w:rPr>
          <w:rFonts w:ascii="Arial Narrow" w:hAnsi="Arial Narrow"/>
        </w:rPr>
        <w:t xml:space="preserve">. </w:t>
      </w:r>
      <w:r w:rsidR="00097545" w:rsidRPr="00814C47">
        <w:rPr>
          <w:rFonts w:ascii="Arial Narrow" w:hAnsi="Arial Narrow"/>
        </w:rPr>
        <w:t>Para ello, se estimó para cada tip</w:t>
      </w:r>
      <w:r w:rsidR="004E1EFA">
        <w:rPr>
          <w:rFonts w:ascii="Arial Narrow" w:hAnsi="Arial Narrow"/>
        </w:rPr>
        <w:t>o de activo (s</w:t>
      </w:r>
      <w:r w:rsidR="009465C0">
        <w:rPr>
          <w:rFonts w:ascii="Arial Narrow" w:hAnsi="Arial Narrow"/>
        </w:rPr>
        <w:t>ubestaciones AT/MT</w:t>
      </w:r>
      <w:r w:rsidR="004E1EFA">
        <w:rPr>
          <w:rFonts w:ascii="Arial Narrow" w:hAnsi="Arial Narrow"/>
        </w:rPr>
        <w:t>; redes MT, redes BT, equipos MT, t</w:t>
      </w:r>
      <w:r w:rsidR="00097545" w:rsidRPr="00814C47">
        <w:rPr>
          <w:rFonts w:ascii="Arial Narrow" w:hAnsi="Arial Narrow"/>
        </w:rPr>
        <w:t>ransformadores MT/BT) el índice de ajuste de precios a efecto de reflejar la variación de precios entre 2008</w:t>
      </w:r>
      <w:r w:rsidR="004E1EFA">
        <w:rPr>
          <w:rFonts w:ascii="Arial Narrow" w:hAnsi="Arial Narrow"/>
        </w:rPr>
        <w:t xml:space="preserve"> y 2014.</w:t>
      </w:r>
      <w:r w:rsidR="00E805B8">
        <w:rPr>
          <w:rFonts w:ascii="Arial Narrow" w:hAnsi="Arial Narrow"/>
        </w:rPr>
        <w:t xml:space="preserve"> </w:t>
      </w:r>
      <w:r w:rsidR="00084C4E">
        <w:rPr>
          <w:rFonts w:ascii="Arial Narrow" w:hAnsi="Arial Narrow"/>
        </w:rPr>
        <w:t xml:space="preserve">La metodología </w:t>
      </w:r>
      <w:r w:rsidR="00E805B8">
        <w:rPr>
          <w:rFonts w:ascii="Arial Narrow" w:hAnsi="Arial Narrow"/>
        </w:rPr>
        <w:t xml:space="preserve">para obtener dicho índice </w:t>
      </w:r>
      <w:r w:rsidR="00084C4E">
        <w:rPr>
          <w:rFonts w:ascii="Arial Narrow" w:hAnsi="Arial Narrow"/>
        </w:rPr>
        <w:t>consistió en</w:t>
      </w:r>
      <w:r w:rsidR="00DC62DF" w:rsidRPr="00814C47">
        <w:rPr>
          <w:rFonts w:ascii="Arial Narrow" w:hAnsi="Arial Narrow"/>
        </w:rPr>
        <w:t xml:space="preserve"> estimar</w:t>
      </w:r>
      <w:r w:rsidR="00097545" w:rsidRPr="00814C47">
        <w:rPr>
          <w:rFonts w:ascii="Arial Narrow" w:hAnsi="Arial Narrow"/>
        </w:rPr>
        <w:t>, l</w:t>
      </w:r>
      <w:r w:rsidR="00DC62DF" w:rsidRPr="00814C47">
        <w:rPr>
          <w:rFonts w:ascii="Arial Narrow" w:hAnsi="Arial Narrow"/>
        </w:rPr>
        <w:t>os</w:t>
      </w:r>
      <w:r w:rsidR="00DC62DF" w:rsidRPr="00084C4E">
        <w:rPr>
          <w:rFonts w:ascii="Arial Narrow" w:hAnsi="Arial Narrow"/>
          <w:i/>
        </w:rPr>
        <w:t xml:space="preserve"> </w:t>
      </w:r>
      <w:r w:rsidR="00E805B8" w:rsidRPr="00E805B8">
        <w:rPr>
          <w:rFonts w:ascii="Arial Narrow" w:hAnsi="Arial Narrow"/>
        </w:rPr>
        <w:t>activos</w:t>
      </w:r>
      <w:r w:rsidR="00DC62DF" w:rsidRPr="00814C47">
        <w:rPr>
          <w:rFonts w:ascii="Arial Narrow" w:hAnsi="Arial Narrow"/>
        </w:rPr>
        <w:t xml:space="preserve"> más relevantes en cuant</w:t>
      </w:r>
      <w:r w:rsidR="00097545" w:rsidRPr="00814C47">
        <w:rPr>
          <w:rFonts w:ascii="Arial Narrow" w:hAnsi="Arial Narrow"/>
        </w:rPr>
        <w:t xml:space="preserve">o a su impacto en el costo total de cada </w:t>
      </w:r>
      <w:r w:rsidR="00097545" w:rsidRPr="00814C47">
        <w:rPr>
          <w:rFonts w:ascii="Arial Narrow" w:hAnsi="Arial Narrow"/>
        </w:rPr>
        <w:lastRenderedPageBreak/>
        <w:t xml:space="preserve">categoría de activos. Para estos </w:t>
      </w:r>
      <w:r w:rsidR="00E805B8" w:rsidRPr="00E805B8">
        <w:rPr>
          <w:rFonts w:ascii="Arial Narrow" w:hAnsi="Arial Narrow"/>
        </w:rPr>
        <w:t>activos</w:t>
      </w:r>
      <w:r w:rsidR="00E805B8">
        <w:rPr>
          <w:rFonts w:ascii="Arial Narrow" w:hAnsi="Arial Narrow"/>
        </w:rPr>
        <w:t>, se obtuvo el precio</w:t>
      </w:r>
      <w:r w:rsidR="00097545" w:rsidRPr="00814C47">
        <w:rPr>
          <w:rFonts w:ascii="Arial Narrow" w:hAnsi="Arial Narrow"/>
        </w:rPr>
        <w:t xml:space="preserve"> del catál</w:t>
      </w:r>
      <w:r w:rsidR="00E805B8">
        <w:rPr>
          <w:rFonts w:ascii="Arial Narrow" w:hAnsi="Arial Narrow"/>
        </w:rPr>
        <w:t xml:space="preserve">ogo </w:t>
      </w:r>
      <w:r w:rsidR="00520048" w:rsidRPr="00814C47">
        <w:rPr>
          <w:rFonts w:ascii="Arial Narrow" w:hAnsi="Arial Narrow"/>
        </w:rPr>
        <w:t xml:space="preserve">de </w:t>
      </w:r>
      <w:r w:rsidR="00E805B8">
        <w:rPr>
          <w:rFonts w:ascii="Arial Narrow" w:hAnsi="Arial Narrow"/>
        </w:rPr>
        <w:t xml:space="preserve">la </w:t>
      </w:r>
      <w:r w:rsidR="00520048" w:rsidRPr="00814C47">
        <w:rPr>
          <w:rFonts w:ascii="Arial Narrow" w:hAnsi="Arial Narrow"/>
        </w:rPr>
        <w:t>CFE a dic</w:t>
      </w:r>
      <w:r w:rsidR="00E805B8">
        <w:rPr>
          <w:rFonts w:ascii="Arial Narrow" w:hAnsi="Arial Narrow"/>
        </w:rPr>
        <w:t>iembre 2008 y a diciembre</w:t>
      </w:r>
      <w:r w:rsidR="00520048" w:rsidRPr="00814C47">
        <w:rPr>
          <w:rFonts w:ascii="Arial Narrow" w:hAnsi="Arial Narrow"/>
        </w:rPr>
        <w:t xml:space="preserve"> </w:t>
      </w:r>
      <w:r w:rsidR="00E805B8">
        <w:rPr>
          <w:rFonts w:ascii="Arial Narrow" w:hAnsi="Arial Narrow"/>
        </w:rPr>
        <w:t>2014 (</w:t>
      </w:r>
      <w:r w:rsidR="00E805B8" w:rsidRPr="00D27D18">
        <w:rPr>
          <w:rFonts w:ascii="Arial Narrow" w:hAnsi="Arial Narrow"/>
        </w:rPr>
        <w:t>CATPRE aprobado por la CRE</w:t>
      </w:r>
      <w:r w:rsidR="00097545" w:rsidRPr="00D27D18">
        <w:rPr>
          <w:rFonts w:ascii="Arial Narrow" w:hAnsi="Arial Narrow"/>
        </w:rPr>
        <w:t>).</w:t>
      </w:r>
      <w:r w:rsidR="00097545" w:rsidRPr="00814C47">
        <w:rPr>
          <w:rFonts w:ascii="Arial Narrow" w:hAnsi="Arial Narrow"/>
        </w:rPr>
        <w:t xml:space="preserve"> A partir de </w:t>
      </w:r>
      <w:r w:rsidR="00E805B8">
        <w:rPr>
          <w:rFonts w:ascii="Arial Narrow" w:hAnsi="Arial Narrow"/>
        </w:rPr>
        <w:t>los precios en las distintas fechas,</w:t>
      </w:r>
      <w:r w:rsidR="00097545" w:rsidRPr="00814C47">
        <w:rPr>
          <w:rFonts w:ascii="Arial Narrow" w:hAnsi="Arial Narrow"/>
        </w:rPr>
        <w:t xml:space="preserve"> se estimó el factor de ajuste de precios.</w:t>
      </w:r>
    </w:p>
    <w:p w:rsidR="00377F6F" w:rsidRPr="002E5946" w:rsidRDefault="00377F6F" w:rsidP="00377F6F">
      <w:pPr>
        <w:spacing w:line="240" w:lineRule="auto"/>
        <w:jc w:val="both"/>
        <w:rPr>
          <w:rFonts w:ascii="Arial Narrow" w:eastAsia="Times New Roman" w:hAnsi="Arial Narrow" w:cs="Times New Roman"/>
          <w:color w:val="000000"/>
          <w:lang w:eastAsia="es-MX"/>
        </w:rPr>
      </w:pPr>
      <w:r w:rsidRPr="00377F6F">
        <w:rPr>
          <w:rFonts w:ascii="Arial Narrow" w:hAnsi="Arial Narrow"/>
        </w:rPr>
        <w:t xml:space="preserve">De acuerdo </w:t>
      </w:r>
      <w:r w:rsidR="004C4EC5">
        <w:rPr>
          <w:rFonts w:ascii="Arial Narrow" w:hAnsi="Arial Narrow"/>
        </w:rPr>
        <w:t>con</w:t>
      </w:r>
      <w:r w:rsidRPr="00377F6F">
        <w:rPr>
          <w:rFonts w:ascii="Arial Narrow" w:hAnsi="Arial Narrow"/>
        </w:rPr>
        <w:t xml:space="preserve"> la actualización de precios y de cantidades, se obtuvo un VNR a diciembre de 2014, igual a </w:t>
      </w:r>
      <w:r w:rsidRPr="00377F6F">
        <w:rPr>
          <w:rFonts w:ascii="Arial Narrow" w:hAnsi="Arial Narrow"/>
          <w:b/>
        </w:rPr>
        <w:t>$</w:t>
      </w:r>
      <w:r w:rsidRPr="00377F6F">
        <w:rPr>
          <w:rFonts w:ascii="Arial Narrow" w:eastAsia="Times New Roman" w:hAnsi="Arial Narrow" w:cs="Times New Roman"/>
          <w:b/>
          <w:color w:val="000000"/>
          <w:lang w:eastAsia="es-MX"/>
        </w:rPr>
        <w:t xml:space="preserve">326,387.8 millones de pesos. </w:t>
      </w:r>
      <w:r w:rsidRPr="00377F6F">
        <w:rPr>
          <w:rFonts w:ascii="Arial Narrow" w:eastAsia="Times New Roman" w:hAnsi="Arial Narrow" w:cs="Times New Roman"/>
          <w:color w:val="000000"/>
          <w:lang w:eastAsia="es-MX"/>
        </w:rPr>
        <w:t>Una vez obtenido el VNR se requiere calcular el retorno a la base de capital, para ello se utilizó un factor de recuperación de capital</w:t>
      </w:r>
      <w:r w:rsidR="004C4EC5">
        <w:rPr>
          <w:rFonts w:ascii="Arial Narrow" w:eastAsia="Times New Roman" w:hAnsi="Arial Narrow" w:cs="Times New Roman"/>
          <w:color w:val="000000"/>
          <w:lang w:eastAsia="es-MX"/>
        </w:rPr>
        <w:t xml:space="preserve"> (FRC)</w:t>
      </w:r>
      <w:r w:rsidRPr="00377F6F">
        <w:rPr>
          <w:rFonts w:ascii="Arial Narrow" w:eastAsia="Times New Roman" w:hAnsi="Arial Narrow" w:cs="Times New Roman"/>
          <w:color w:val="000000"/>
          <w:lang w:eastAsia="es-MX"/>
        </w:rPr>
        <w:t>, el cual permite incorporar la depreciación de los activos como un componente más del costo de capital. Este factor se define de la siguiente forma:</w:t>
      </w:r>
    </w:p>
    <w:p w:rsidR="00377F6F" w:rsidRPr="00377F6F" w:rsidRDefault="00377F6F" w:rsidP="00377F6F">
      <w:pPr>
        <w:jc w:val="center"/>
        <w:rPr>
          <w:lang w:val="es-UY"/>
        </w:rPr>
      </w:pPr>
      <m:oMathPara>
        <m:oMath>
          <m:r>
            <w:rPr>
              <w:rFonts w:ascii="Cambria Math" w:hAnsi="Cambria Math"/>
              <w:lang w:val="es-UY"/>
            </w:rPr>
            <m:t>FRC=</m:t>
          </m:r>
          <m:f>
            <m:fPr>
              <m:ctrlPr>
                <w:rPr>
                  <w:rFonts w:ascii="Cambria Math" w:hAnsi="Cambria Math"/>
                  <w:i/>
                  <w:lang w:val="es-UY"/>
                </w:rPr>
              </m:ctrlPr>
            </m:fPr>
            <m:num>
              <m:r>
                <w:rPr>
                  <w:rFonts w:ascii="Cambria Math" w:hAnsi="Cambria Math"/>
                  <w:lang w:val="es-UY"/>
                </w:rPr>
                <m:t>r*</m:t>
              </m:r>
              <m:sSup>
                <m:sSupPr>
                  <m:ctrlPr>
                    <w:rPr>
                      <w:rFonts w:ascii="Cambria Math" w:hAnsi="Cambria Math"/>
                      <w:i/>
                      <w:lang w:val="es-UY"/>
                    </w:rPr>
                  </m:ctrlPr>
                </m:sSupPr>
                <m:e>
                  <m:d>
                    <m:dPr>
                      <m:ctrlPr>
                        <w:rPr>
                          <w:rFonts w:ascii="Cambria Math" w:hAnsi="Cambria Math"/>
                          <w:i/>
                          <w:lang w:val="es-UY"/>
                        </w:rPr>
                      </m:ctrlPr>
                    </m:dPr>
                    <m:e>
                      <m:r>
                        <w:rPr>
                          <w:rFonts w:ascii="Cambria Math" w:hAnsi="Cambria Math"/>
                          <w:lang w:val="es-UY"/>
                        </w:rPr>
                        <m:t>1+r</m:t>
                      </m:r>
                    </m:e>
                  </m:d>
                </m:e>
                <m:sup>
                  <m:r>
                    <w:rPr>
                      <w:rFonts w:ascii="Cambria Math" w:hAnsi="Cambria Math"/>
                      <w:lang w:val="es-UY"/>
                    </w:rPr>
                    <m:t>n</m:t>
                  </m:r>
                </m:sup>
              </m:sSup>
            </m:num>
            <m:den>
              <m:sSup>
                <m:sSupPr>
                  <m:ctrlPr>
                    <w:rPr>
                      <w:rFonts w:ascii="Cambria Math" w:hAnsi="Cambria Math"/>
                      <w:i/>
                      <w:lang w:val="es-UY"/>
                    </w:rPr>
                  </m:ctrlPr>
                </m:sSupPr>
                <m:e>
                  <m:d>
                    <m:dPr>
                      <m:ctrlPr>
                        <w:rPr>
                          <w:rFonts w:ascii="Cambria Math" w:hAnsi="Cambria Math"/>
                          <w:i/>
                          <w:lang w:val="es-UY"/>
                        </w:rPr>
                      </m:ctrlPr>
                    </m:dPr>
                    <m:e>
                      <m:r>
                        <w:rPr>
                          <w:rFonts w:ascii="Cambria Math" w:hAnsi="Cambria Math"/>
                          <w:lang w:val="es-UY"/>
                        </w:rPr>
                        <m:t>1+r</m:t>
                      </m:r>
                    </m:e>
                  </m:d>
                </m:e>
                <m:sup>
                  <m:r>
                    <w:rPr>
                      <w:rFonts w:ascii="Cambria Math" w:hAnsi="Cambria Math"/>
                      <w:lang w:val="es-UY"/>
                    </w:rPr>
                    <m:t>n</m:t>
                  </m:r>
                </m:sup>
              </m:sSup>
              <m:r>
                <w:rPr>
                  <w:rFonts w:ascii="Cambria Math" w:hAnsi="Cambria Math"/>
                  <w:lang w:val="es-UY"/>
                </w:rPr>
                <m:t>-1</m:t>
              </m:r>
            </m:den>
          </m:f>
        </m:oMath>
      </m:oMathPara>
    </w:p>
    <w:p w:rsidR="00377F6F" w:rsidRPr="003A528C" w:rsidRDefault="00377F6F" w:rsidP="00377F6F">
      <w:pPr>
        <w:pStyle w:val="Prrafodelista"/>
        <w:spacing w:after="200" w:line="240" w:lineRule="auto"/>
        <w:ind w:left="0"/>
        <w:jc w:val="both"/>
        <w:rPr>
          <w:rFonts w:ascii="Arial Narrow" w:hAnsi="Arial Narrow"/>
        </w:rPr>
      </w:pPr>
      <w:r w:rsidRPr="003A528C">
        <w:rPr>
          <w:rFonts w:ascii="Arial Narrow" w:hAnsi="Arial Narrow"/>
        </w:rPr>
        <w:t>Donde:</w:t>
      </w:r>
    </w:p>
    <w:p w:rsidR="00377F6F" w:rsidRPr="003A528C" w:rsidRDefault="00377F6F" w:rsidP="00377F6F">
      <w:pPr>
        <w:pStyle w:val="Prrafodelista"/>
        <w:spacing w:after="200" w:line="240" w:lineRule="auto"/>
        <w:ind w:left="0"/>
        <w:jc w:val="both"/>
        <w:rPr>
          <w:rFonts w:ascii="Arial Narrow" w:hAnsi="Arial Narrow"/>
          <w:b/>
        </w:rPr>
      </w:pPr>
    </w:p>
    <w:p w:rsidR="00377F6F" w:rsidRPr="003A528C" w:rsidRDefault="00377F6F" w:rsidP="00377F6F">
      <w:pPr>
        <w:pStyle w:val="Prrafodelista"/>
        <w:spacing w:after="200" w:line="240" w:lineRule="auto"/>
        <w:ind w:left="0"/>
        <w:jc w:val="both"/>
        <w:rPr>
          <w:rFonts w:ascii="Arial Narrow" w:eastAsiaTheme="minorEastAsia" w:hAnsi="Arial Narrow"/>
          <w:lang w:val="es-UY"/>
        </w:rPr>
      </w:pPr>
      <w:r w:rsidRPr="003A528C">
        <w:rPr>
          <w:rFonts w:ascii="Arial Narrow" w:hAnsi="Arial Narrow"/>
        </w:rPr>
        <w:t xml:space="preserve"> </w:t>
      </w:r>
      <m:oMath>
        <m:r>
          <w:rPr>
            <w:rFonts w:ascii="Cambria Math" w:hAnsi="Cambria Math"/>
            <w:lang w:val="es-UY"/>
          </w:rPr>
          <m:t>r</m:t>
        </m:r>
      </m:oMath>
      <w:r w:rsidRPr="003A528C">
        <w:rPr>
          <w:rFonts w:ascii="Arial Narrow" w:eastAsiaTheme="minorEastAsia" w:hAnsi="Arial Narrow"/>
          <w:lang w:val="es-UY"/>
        </w:rPr>
        <w:t>=tasa de retorno al capital</w:t>
      </w:r>
    </w:p>
    <w:p w:rsidR="00377F6F" w:rsidRPr="003A528C" w:rsidRDefault="00377F6F" w:rsidP="00377F6F">
      <w:pPr>
        <w:pStyle w:val="Prrafodelista"/>
        <w:spacing w:after="200" w:line="240" w:lineRule="auto"/>
        <w:ind w:left="0"/>
        <w:jc w:val="both"/>
        <w:rPr>
          <w:rFonts w:ascii="Arial Narrow" w:eastAsiaTheme="minorEastAsia" w:hAnsi="Arial Narrow"/>
          <w:lang w:val="es-UY"/>
        </w:rPr>
      </w:pPr>
      <m:oMath>
        <m:r>
          <w:rPr>
            <w:rFonts w:ascii="Cambria Math" w:hAnsi="Cambria Math"/>
            <w:lang w:val="es-UY"/>
          </w:rPr>
          <m:t xml:space="preserve"> n</m:t>
        </m:r>
      </m:oMath>
      <w:r w:rsidRPr="003A528C">
        <w:rPr>
          <w:rFonts w:ascii="Arial Narrow" w:eastAsiaTheme="minorEastAsia" w:hAnsi="Arial Narrow"/>
          <w:lang w:val="es-UY"/>
        </w:rPr>
        <w:t>=vida útil de los activos</w:t>
      </w:r>
    </w:p>
    <w:p w:rsidR="00377F6F" w:rsidRPr="003A528C" w:rsidRDefault="00377F6F" w:rsidP="00377F6F">
      <w:pPr>
        <w:pStyle w:val="Prrafodelista"/>
        <w:spacing w:after="200" w:line="240" w:lineRule="auto"/>
        <w:ind w:left="0"/>
        <w:jc w:val="both"/>
        <w:rPr>
          <w:rFonts w:ascii="Arial Narrow" w:eastAsiaTheme="minorEastAsia" w:hAnsi="Arial Narrow"/>
          <w:lang w:val="es-UY"/>
        </w:rPr>
      </w:pPr>
    </w:p>
    <w:p w:rsidR="00377F6F" w:rsidRDefault="00377F6F" w:rsidP="00377F6F">
      <w:pPr>
        <w:pStyle w:val="Prrafodelista"/>
        <w:spacing w:after="200" w:line="240" w:lineRule="auto"/>
        <w:ind w:left="0"/>
        <w:jc w:val="both"/>
        <w:rPr>
          <w:rFonts w:ascii="Arial Narrow" w:hAnsi="Arial Narrow"/>
        </w:rPr>
      </w:pPr>
      <w:r w:rsidRPr="003A528C">
        <w:rPr>
          <w:rFonts w:ascii="Arial Narrow" w:eastAsiaTheme="minorEastAsia" w:hAnsi="Arial Narrow"/>
          <w:lang w:val="es-UY"/>
        </w:rPr>
        <w:t xml:space="preserve">Para determinar la vida útil de los activos, </w:t>
      </w:r>
      <w:r w:rsidRPr="003A528C">
        <w:rPr>
          <w:rFonts w:ascii="Arial Narrow" w:hAnsi="Arial Narrow"/>
        </w:rPr>
        <w:t>se consideró un valor promedio de los activos eléctricos de 30 años</w:t>
      </w:r>
      <w:r>
        <w:rPr>
          <w:rFonts w:ascii="Arial Narrow" w:hAnsi="Arial Narrow"/>
        </w:rPr>
        <w:t>, este valor es</w:t>
      </w:r>
      <w:r w:rsidRPr="003A528C">
        <w:rPr>
          <w:rFonts w:ascii="Arial Narrow" w:hAnsi="Arial Narrow"/>
        </w:rPr>
        <w:t xml:space="preserve"> utilizado</w:t>
      </w:r>
      <w:r>
        <w:rPr>
          <w:rFonts w:ascii="Arial Narrow" w:hAnsi="Arial Narrow"/>
        </w:rPr>
        <w:t xml:space="preserve"> normalmente</w:t>
      </w:r>
      <w:r w:rsidRPr="003A528C">
        <w:rPr>
          <w:rFonts w:ascii="Arial Narrow" w:hAnsi="Arial Narrow"/>
        </w:rPr>
        <w:t xml:space="preserve"> por los organismos reguladores en procesos tarifarios de Distribución. En relación a la tasa de retorno al capital se utilizó una metodología CAPM/WACC la cual se describe en el siguiente apartado.</w:t>
      </w:r>
    </w:p>
    <w:p w:rsidR="00377F6F" w:rsidRPr="00377F6F" w:rsidRDefault="00377F6F" w:rsidP="00377F6F">
      <w:pPr>
        <w:pStyle w:val="Prrafodelista"/>
        <w:spacing w:after="200" w:line="240" w:lineRule="auto"/>
        <w:ind w:left="0"/>
        <w:jc w:val="both"/>
        <w:rPr>
          <w:rFonts w:ascii="Arial Narrow" w:hAnsi="Arial Narrow"/>
        </w:rPr>
      </w:pPr>
    </w:p>
    <w:p w:rsidR="00377F6F" w:rsidRPr="0025073C" w:rsidRDefault="00837AAF" w:rsidP="0025073C">
      <w:pPr>
        <w:pStyle w:val="Prrafodelista"/>
        <w:keepNext/>
        <w:keepLines/>
        <w:numPr>
          <w:ilvl w:val="2"/>
          <w:numId w:val="15"/>
        </w:numPr>
        <w:spacing w:after="0" w:line="240" w:lineRule="auto"/>
        <w:ind w:left="630" w:hanging="630"/>
        <w:jc w:val="both"/>
        <w:outlineLvl w:val="0"/>
        <w:rPr>
          <w:rFonts w:ascii="Arial Narrow" w:eastAsiaTheme="majorEastAsia" w:hAnsi="Arial Narrow" w:cstheme="majorBidi"/>
          <w:b/>
          <w:bCs/>
          <w:color w:val="000000" w:themeColor="text1"/>
        </w:rPr>
      </w:pPr>
      <w:r w:rsidRPr="0096062C">
        <w:rPr>
          <w:rFonts w:ascii="Arial Narrow" w:eastAsiaTheme="majorEastAsia" w:hAnsi="Arial Narrow" w:cstheme="majorBidi"/>
          <w:b/>
          <w:bCs/>
          <w:color w:val="000000" w:themeColor="text1"/>
        </w:rPr>
        <w:t>Tasa de Retorno</w:t>
      </w:r>
    </w:p>
    <w:p w:rsidR="00175B3E" w:rsidRPr="00377F6F" w:rsidRDefault="00175B3E" w:rsidP="00814C47">
      <w:pPr>
        <w:spacing w:after="200" w:line="240" w:lineRule="auto"/>
        <w:jc w:val="both"/>
        <w:rPr>
          <w:rFonts w:ascii="Arial Narrow" w:hAnsi="Arial Narrow"/>
        </w:rPr>
      </w:pPr>
      <w:r w:rsidRPr="00377F6F">
        <w:rPr>
          <w:rFonts w:ascii="Arial Narrow" w:hAnsi="Arial Narrow"/>
        </w:rPr>
        <w:t>Para determinar la tasa de retorno se utilizó un modelo CAPM/WACC</w:t>
      </w:r>
      <w:r w:rsidR="00662554" w:rsidRPr="00377F6F">
        <w:rPr>
          <w:rFonts w:ascii="Arial Narrow" w:hAnsi="Arial Narrow"/>
        </w:rPr>
        <w:t xml:space="preserve">. </w:t>
      </w:r>
      <w:r w:rsidRPr="00377F6F">
        <w:rPr>
          <w:rFonts w:ascii="Arial Narrow" w:hAnsi="Arial Narrow" w:cs="Arial"/>
        </w:rPr>
        <w:t xml:space="preserve">Este modelo </w:t>
      </w:r>
      <w:r w:rsidRPr="00377F6F">
        <w:rPr>
          <w:rFonts w:ascii="Arial Narrow" w:hAnsi="Arial Narrow"/>
        </w:rPr>
        <w:t>permite determinar el costo del capital propio, esto es, el rendimiento solicitado por los accionistas; y efectuar la comparación del caso bajo análisis</w:t>
      </w:r>
      <w:r w:rsidR="009465C0" w:rsidRPr="00377F6F">
        <w:rPr>
          <w:rFonts w:ascii="Arial Narrow" w:hAnsi="Arial Narrow"/>
        </w:rPr>
        <w:t>,</w:t>
      </w:r>
      <w:r w:rsidRPr="00377F6F">
        <w:rPr>
          <w:rFonts w:ascii="Arial Narrow" w:hAnsi="Arial Narrow"/>
        </w:rPr>
        <w:t xml:space="preserve"> con empresas que pertenecen a la misma industria y desarrollan actividades en c</w:t>
      </w:r>
      <w:r w:rsidR="00920FD5" w:rsidRPr="00377F6F">
        <w:rPr>
          <w:rFonts w:ascii="Arial Narrow" w:hAnsi="Arial Narrow"/>
        </w:rPr>
        <w:t>ondiciones similares de riesgo.</w:t>
      </w:r>
    </w:p>
    <w:p w:rsidR="00377F6F" w:rsidRPr="00B409DC" w:rsidRDefault="00175B3E" w:rsidP="00377F6F">
      <w:pPr>
        <w:spacing w:line="240" w:lineRule="auto"/>
        <w:jc w:val="both"/>
        <w:rPr>
          <w:rFonts w:ascii="Arial Narrow" w:hAnsi="Arial Narrow"/>
        </w:rPr>
      </w:pPr>
      <w:r w:rsidRPr="00377F6F">
        <w:rPr>
          <w:rFonts w:ascii="Arial Narrow" w:hAnsi="Arial Narrow"/>
        </w:rPr>
        <w:t>Por otra parte, y consideran</w:t>
      </w:r>
      <w:r w:rsidR="00662554" w:rsidRPr="00377F6F">
        <w:rPr>
          <w:rFonts w:ascii="Arial Narrow" w:hAnsi="Arial Narrow"/>
        </w:rPr>
        <w:t>do que el</w:t>
      </w:r>
      <w:r w:rsidRPr="00377F6F">
        <w:rPr>
          <w:rFonts w:ascii="Arial Narrow" w:hAnsi="Arial Narrow"/>
        </w:rPr>
        <w:t xml:space="preserve"> mantenimiento de redes se financia con capital propio y endeudamiento, en la mayoría de las pr</w:t>
      </w:r>
      <w:r w:rsidR="00662554" w:rsidRPr="00377F6F">
        <w:rPr>
          <w:rFonts w:ascii="Arial Narrow" w:hAnsi="Arial Narrow"/>
        </w:rPr>
        <w:t>ácticas regulatorias se usa</w:t>
      </w:r>
      <w:r w:rsidRPr="00377F6F">
        <w:rPr>
          <w:rFonts w:ascii="Arial Narrow" w:hAnsi="Arial Narrow"/>
        </w:rPr>
        <w:t xml:space="preserve"> la estimación de la tasa de retorno a través del cálculo de la WACC (</w:t>
      </w:r>
      <w:r w:rsidRPr="00377F6F">
        <w:rPr>
          <w:rFonts w:ascii="Arial Narrow" w:hAnsi="Arial Narrow"/>
          <w:i/>
        </w:rPr>
        <w:t>Weighted Average Cost Of Capital</w:t>
      </w:r>
      <w:r w:rsidR="00662554" w:rsidRPr="00377F6F">
        <w:rPr>
          <w:rFonts w:ascii="Arial Narrow" w:hAnsi="Arial Narrow"/>
        </w:rPr>
        <w:t>). Este</w:t>
      </w:r>
      <w:r w:rsidRPr="00377F6F">
        <w:rPr>
          <w:rFonts w:ascii="Arial Narrow" w:hAnsi="Arial Narrow"/>
        </w:rPr>
        <w:t xml:space="preserve"> método adiciona al costo del capital propio, previamente calculado por CAPM, el costo marginal de endeudamiento, y pondera ambos componentes en función del endeudamiento óptimo para la actividad</w:t>
      </w:r>
      <w:r w:rsidR="009465C0" w:rsidRPr="00377F6F">
        <w:rPr>
          <w:rFonts w:ascii="Arial Narrow" w:hAnsi="Arial Narrow"/>
        </w:rPr>
        <w:t xml:space="preserve">, en este caso </w:t>
      </w:r>
      <w:r w:rsidR="004C4EC5">
        <w:rPr>
          <w:rFonts w:ascii="Arial Narrow" w:hAnsi="Arial Narrow"/>
        </w:rPr>
        <w:t xml:space="preserve">para la actividad </w:t>
      </w:r>
      <w:r w:rsidR="009465C0" w:rsidRPr="00377F6F">
        <w:rPr>
          <w:rFonts w:ascii="Arial Narrow" w:hAnsi="Arial Narrow"/>
        </w:rPr>
        <w:t xml:space="preserve">de </w:t>
      </w:r>
      <w:r w:rsidR="004C4EC5">
        <w:rPr>
          <w:rFonts w:ascii="Arial Narrow" w:hAnsi="Arial Narrow"/>
        </w:rPr>
        <w:t>D</w:t>
      </w:r>
      <w:r w:rsidR="009465C0" w:rsidRPr="00377F6F">
        <w:rPr>
          <w:rFonts w:ascii="Arial Narrow" w:hAnsi="Arial Narrow"/>
        </w:rPr>
        <w:t xml:space="preserve">istribución. </w:t>
      </w:r>
      <w:r w:rsidRPr="00377F6F">
        <w:rPr>
          <w:rFonts w:ascii="Arial Narrow" w:hAnsi="Arial Narrow"/>
        </w:rPr>
        <w:t xml:space="preserve"> De este modo se transfiere a los usuarios los beneficios resultantes de una gestión financiera</w:t>
      </w:r>
      <w:r w:rsidR="00662554" w:rsidRPr="00377F6F">
        <w:rPr>
          <w:rFonts w:ascii="Arial Narrow" w:hAnsi="Arial Narrow"/>
        </w:rPr>
        <w:t xml:space="preserve"> regulada</w:t>
      </w:r>
      <w:r w:rsidRPr="00377F6F">
        <w:rPr>
          <w:rFonts w:ascii="Arial Narrow" w:hAnsi="Arial Narrow"/>
        </w:rPr>
        <w:t xml:space="preserve"> óptima, dado que el grado de endeudamiento y el costo del mismo no corresponden con los presentes en las empresas, sino con los que resultan adecuados en función de un análisis de </w:t>
      </w:r>
      <w:r w:rsidRPr="00377F6F">
        <w:rPr>
          <w:rFonts w:ascii="Arial Narrow" w:hAnsi="Arial Narrow"/>
          <w:i/>
        </w:rPr>
        <w:t>benchmarking</w:t>
      </w:r>
      <w:r w:rsidRPr="00377F6F">
        <w:rPr>
          <w:rFonts w:ascii="Arial Narrow" w:hAnsi="Arial Narrow"/>
        </w:rPr>
        <w:t xml:space="preserve"> financiero. </w:t>
      </w:r>
      <w:r w:rsidR="003A0370" w:rsidRPr="00377F6F">
        <w:rPr>
          <w:rFonts w:ascii="Arial Narrow" w:hAnsi="Arial Narrow"/>
        </w:rPr>
        <w:t>La tasa estimada es de 10.07% después de impuestos.</w:t>
      </w:r>
      <w:r w:rsidR="00377F6F" w:rsidRPr="00377F6F">
        <w:rPr>
          <w:rFonts w:ascii="Arial Narrow" w:hAnsi="Arial Narrow"/>
        </w:rPr>
        <w:t xml:space="preserve"> </w:t>
      </w:r>
      <w:r w:rsidR="00377F6F">
        <w:rPr>
          <w:rFonts w:ascii="Arial Narrow" w:hAnsi="Arial Narrow"/>
        </w:rPr>
        <w:t>Finamente, considerando un tasa de retorno de 10.07%, una vida útil promedio de los activos de 30 años se obtuvo un factor de recuperación de capital de 10.67%.</w:t>
      </w:r>
    </w:p>
    <w:p w:rsidR="00B35D10" w:rsidRDefault="00377F6F" w:rsidP="00377F6F">
      <w:pPr>
        <w:jc w:val="both"/>
        <w:rPr>
          <w:rFonts w:ascii="Arial Narrow" w:hAnsi="Arial Narrow" w:cs="Arial"/>
          <w:lang w:val="es-ES"/>
        </w:rPr>
      </w:pPr>
      <w:r>
        <w:rPr>
          <w:rFonts w:ascii="Arial Narrow" w:hAnsi="Arial Narrow" w:cs="Arial"/>
          <w:lang w:val="es-ES"/>
        </w:rPr>
        <w:t>Una vez obtenidos la base de capital y el factor de recuperación</w:t>
      </w:r>
      <w:r w:rsidRPr="003C792B">
        <w:rPr>
          <w:rFonts w:ascii="Arial Narrow" w:hAnsi="Arial Narrow" w:cs="Arial"/>
          <w:lang w:val="es-ES"/>
        </w:rPr>
        <w:t xml:space="preserve">, el cálculo del costo de capital resulta de valuar la base de capital al costo de oportunidad de utilizar dicho capital considerando la depreciación de los activos. Para ello se multiplica el factor de recuperación de capital por el monto de VNR de cada división de distribución. Es importante mencionar que en el caso de las divisiones de distribución del Valle de México, solo se toma en cuenta la depreciación de los activos cedidos por Luz y Fuerza </w:t>
      </w:r>
      <w:r>
        <w:rPr>
          <w:rFonts w:ascii="Arial Narrow" w:hAnsi="Arial Narrow" w:cs="Arial"/>
          <w:lang w:val="es-ES"/>
        </w:rPr>
        <w:t xml:space="preserve">del centro (LyFC) </w:t>
      </w:r>
      <w:r w:rsidRPr="003C792B">
        <w:rPr>
          <w:rFonts w:ascii="Arial Narrow" w:hAnsi="Arial Narrow" w:cs="Arial"/>
          <w:lang w:val="es-ES"/>
        </w:rPr>
        <w:t>y el monto por las inversiones en activos físicos realizadas por la CFE con fecha posterior a la toma de l</w:t>
      </w:r>
      <w:r>
        <w:rPr>
          <w:rFonts w:ascii="Arial Narrow" w:hAnsi="Arial Narrow" w:cs="Arial"/>
          <w:lang w:val="es-ES"/>
        </w:rPr>
        <w:t xml:space="preserve">as instalaciones de (LyFC) valuadas de acuerdo </w:t>
      </w:r>
      <w:r w:rsidR="004C4EC5">
        <w:rPr>
          <w:rFonts w:ascii="Arial Narrow" w:hAnsi="Arial Narrow" w:cs="Arial"/>
          <w:lang w:val="es-ES"/>
        </w:rPr>
        <w:t>con</w:t>
      </w:r>
      <w:r>
        <w:rPr>
          <w:rFonts w:ascii="Arial Narrow" w:hAnsi="Arial Narrow" w:cs="Arial"/>
          <w:lang w:val="es-ES"/>
        </w:rPr>
        <w:t xml:space="preserve"> la informaci</w:t>
      </w:r>
      <w:r w:rsidR="00B35D10">
        <w:rPr>
          <w:rFonts w:ascii="Arial Narrow" w:hAnsi="Arial Narrow" w:cs="Arial"/>
          <w:lang w:val="es-ES"/>
        </w:rPr>
        <w:t>ón contable de la CFE.</w:t>
      </w:r>
    </w:p>
    <w:p w:rsidR="00B35D10" w:rsidRDefault="00B35D10" w:rsidP="00377F6F">
      <w:pPr>
        <w:jc w:val="both"/>
        <w:rPr>
          <w:rFonts w:ascii="Arial Narrow" w:hAnsi="Arial Narrow" w:cs="Arial"/>
          <w:lang w:val="es-ES"/>
        </w:rPr>
      </w:pPr>
    </w:p>
    <w:p w:rsidR="00B35D10" w:rsidRDefault="00B35D10" w:rsidP="00377F6F">
      <w:pPr>
        <w:jc w:val="both"/>
        <w:rPr>
          <w:rFonts w:ascii="Arial Narrow" w:hAnsi="Arial Narrow" w:cs="Arial"/>
          <w:lang w:val="es-ES"/>
        </w:rPr>
      </w:pPr>
    </w:p>
    <w:p w:rsidR="00B35D10" w:rsidRPr="00B35D10" w:rsidRDefault="00B35D10" w:rsidP="00377F6F">
      <w:pPr>
        <w:jc w:val="both"/>
        <w:rPr>
          <w:rFonts w:ascii="Arial Narrow" w:hAnsi="Arial Narrow" w:cs="Arial"/>
          <w:lang w:val="es-ES"/>
        </w:rPr>
      </w:pPr>
    </w:p>
    <w:tbl>
      <w:tblPr>
        <w:tblpPr w:leftFromText="141" w:rightFromText="141" w:vertAnchor="text" w:horzAnchor="margin" w:tblpXSpec="center" w:tblpY="275"/>
        <w:tblW w:w="2959" w:type="dxa"/>
        <w:tblCellMar>
          <w:left w:w="70" w:type="dxa"/>
          <w:right w:w="70" w:type="dxa"/>
        </w:tblCellMar>
        <w:tblLook w:val="04A0" w:firstRow="1" w:lastRow="0" w:firstColumn="1" w:lastColumn="0" w:noHBand="0" w:noVBand="1"/>
      </w:tblPr>
      <w:tblGrid>
        <w:gridCol w:w="2160"/>
        <w:gridCol w:w="799"/>
      </w:tblGrid>
      <w:tr w:rsidR="00CC381A" w:rsidRPr="002E5946" w:rsidTr="00CC381A">
        <w:trPr>
          <w:trHeight w:val="293"/>
        </w:trPr>
        <w:tc>
          <w:tcPr>
            <w:tcW w:w="2160" w:type="dxa"/>
            <w:tcBorders>
              <w:top w:val="single" w:sz="8" w:space="0" w:color="auto"/>
              <w:left w:val="single" w:sz="8" w:space="0" w:color="auto"/>
              <w:bottom w:val="single" w:sz="8" w:space="0" w:color="auto"/>
              <w:right w:val="single" w:sz="8" w:space="0" w:color="auto"/>
            </w:tcBorders>
            <w:shd w:val="clear" w:color="auto" w:fill="365F91" w:themeFill="accent1" w:themeFillShade="BF"/>
            <w:vAlign w:val="center"/>
            <w:hideMark/>
          </w:tcPr>
          <w:p w:rsidR="00CC381A" w:rsidRDefault="00CC381A" w:rsidP="00CC381A">
            <w:pPr>
              <w:spacing w:after="0" w:line="240" w:lineRule="auto"/>
              <w:jc w:val="center"/>
              <w:rPr>
                <w:rFonts w:ascii="Arial Narrow" w:eastAsia="Times New Roman" w:hAnsi="Arial Narrow" w:cs="Times New Roman"/>
                <w:b/>
                <w:bCs/>
                <w:color w:val="FFFFFF" w:themeColor="background1"/>
                <w:sz w:val="20"/>
                <w:szCs w:val="20"/>
                <w:lang w:eastAsia="es-MX"/>
              </w:rPr>
            </w:pPr>
            <w:r w:rsidRPr="002E5946">
              <w:rPr>
                <w:rFonts w:ascii="Arial Narrow" w:eastAsia="Times New Roman" w:hAnsi="Arial Narrow" w:cs="Times New Roman"/>
                <w:b/>
                <w:bCs/>
                <w:color w:val="FFFFFF" w:themeColor="background1"/>
                <w:sz w:val="20"/>
                <w:szCs w:val="20"/>
                <w:lang w:eastAsia="es-MX"/>
              </w:rPr>
              <w:lastRenderedPageBreak/>
              <w:t>Componentes</w:t>
            </w:r>
          </w:p>
          <w:p w:rsidR="00CC381A" w:rsidRPr="002E5946" w:rsidRDefault="00CC381A" w:rsidP="00CC381A">
            <w:pPr>
              <w:spacing w:after="0" w:line="240" w:lineRule="auto"/>
              <w:jc w:val="center"/>
              <w:rPr>
                <w:rFonts w:ascii="Arial Narrow" w:eastAsia="Times New Roman" w:hAnsi="Arial Narrow" w:cs="Times New Roman"/>
                <w:b/>
                <w:bCs/>
                <w:color w:val="FFFFFF"/>
                <w:sz w:val="20"/>
                <w:szCs w:val="20"/>
                <w:lang w:eastAsia="es-MX"/>
              </w:rPr>
            </w:pPr>
            <w:r w:rsidRPr="00CC381A">
              <w:rPr>
                <w:rFonts w:ascii="Arial Narrow" w:eastAsia="Times New Roman" w:hAnsi="Arial Narrow" w:cs="Times New Roman"/>
                <w:b/>
                <w:bCs/>
                <w:color w:val="FFFFFF" w:themeColor="background1"/>
                <w:sz w:val="14"/>
                <w:szCs w:val="20"/>
                <w:lang w:eastAsia="es-MX"/>
              </w:rPr>
              <w:t>(millones de pesos)</w:t>
            </w:r>
          </w:p>
        </w:tc>
        <w:tc>
          <w:tcPr>
            <w:tcW w:w="799" w:type="dxa"/>
            <w:tcBorders>
              <w:top w:val="single" w:sz="8" w:space="0" w:color="auto"/>
              <w:left w:val="nil"/>
              <w:bottom w:val="single" w:sz="4" w:space="0" w:color="auto"/>
              <w:right w:val="single" w:sz="8" w:space="0" w:color="auto"/>
            </w:tcBorders>
            <w:shd w:val="clear" w:color="auto" w:fill="365F91" w:themeFill="accent1" w:themeFillShade="BF"/>
            <w:vAlign w:val="center"/>
            <w:hideMark/>
          </w:tcPr>
          <w:p w:rsidR="00CC381A" w:rsidRPr="002E5946" w:rsidRDefault="00CC381A" w:rsidP="00CC381A">
            <w:pPr>
              <w:spacing w:after="0" w:line="240" w:lineRule="auto"/>
              <w:jc w:val="center"/>
              <w:rPr>
                <w:rFonts w:ascii="Arial Narrow" w:eastAsia="Times New Roman" w:hAnsi="Arial Narrow" w:cs="Times New Roman"/>
                <w:b/>
                <w:bCs/>
                <w:color w:val="FFFFFF"/>
                <w:sz w:val="20"/>
                <w:szCs w:val="20"/>
                <w:lang w:eastAsia="es-MX"/>
              </w:rPr>
            </w:pPr>
            <w:r>
              <w:rPr>
                <w:rFonts w:ascii="Arial Narrow" w:eastAsia="Times New Roman" w:hAnsi="Arial Narrow" w:cs="Times New Roman"/>
                <w:b/>
                <w:bCs/>
                <w:color w:val="FFFFFF" w:themeColor="background1"/>
                <w:sz w:val="20"/>
                <w:szCs w:val="20"/>
                <w:lang w:eastAsia="es-MX"/>
              </w:rPr>
              <w:t>Monto</w:t>
            </w:r>
          </w:p>
        </w:tc>
      </w:tr>
      <w:tr w:rsidR="00CC381A" w:rsidRPr="002E5946" w:rsidTr="00CC381A">
        <w:trPr>
          <w:trHeight w:val="279"/>
        </w:trPr>
        <w:tc>
          <w:tcPr>
            <w:tcW w:w="2160" w:type="dxa"/>
            <w:tcBorders>
              <w:top w:val="nil"/>
              <w:left w:val="single" w:sz="8" w:space="0" w:color="auto"/>
              <w:bottom w:val="nil"/>
              <w:right w:val="single" w:sz="8" w:space="0" w:color="auto"/>
            </w:tcBorders>
            <w:shd w:val="clear" w:color="auto" w:fill="auto"/>
            <w:vAlign w:val="center"/>
            <w:hideMark/>
          </w:tcPr>
          <w:p w:rsidR="00CC381A" w:rsidRPr="00CC381A" w:rsidRDefault="00CC381A" w:rsidP="00CC381A">
            <w:pPr>
              <w:spacing w:after="0" w:line="240" w:lineRule="auto"/>
              <w:jc w:val="center"/>
              <w:rPr>
                <w:rFonts w:ascii="Arial Narrow" w:eastAsia="Times New Roman" w:hAnsi="Arial Narrow" w:cs="Times New Roman"/>
                <w:color w:val="000000"/>
                <w:sz w:val="18"/>
                <w:szCs w:val="20"/>
                <w:lang w:eastAsia="es-MX"/>
              </w:rPr>
            </w:pPr>
            <w:r w:rsidRPr="00CC381A">
              <w:rPr>
                <w:rFonts w:ascii="Arial Narrow" w:eastAsia="Times New Roman" w:hAnsi="Arial Narrow" w:cs="Times New Roman"/>
                <w:color w:val="000000"/>
                <w:sz w:val="18"/>
                <w:szCs w:val="20"/>
                <w:lang w:eastAsia="es-MX"/>
              </w:rPr>
              <w:t>Capital</w:t>
            </w:r>
          </w:p>
        </w:tc>
        <w:tc>
          <w:tcPr>
            <w:tcW w:w="799" w:type="dxa"/>
            <w:tcBorders>
              <w:top w:val="single" w:sz="4" w:space="0" w:color="auto"/>
              <w:left w:val="nil"/>
              <w:bottom w:val="nil"/>
              <w:right w:val="single" w:sz="8" w:space="0" w:color="auto"/>
            </w:tcBorders>
            <w:shd w:val="clear" w:color="auto" w:fill="auto"/>
            <w:vAlign w:val="center"/>
            <w:hideMark/>
          </w:tcPr>
          <w:p w:rsidR="00CC381A" w:rsidRPr="00CC381A" w:rsidRDefault="00082F7D" w:rsidP="00CC381A">
            <w:pPr>
              <w:spacing w:after="0" w:line="240" w:lineRule="auto"/>
              <w:jc w:val="center"/>
              <w:rPr>
                <w:rFonts w:ascii="Arial Narrow" w:eastAsia="Times New Roman" w:hAnsi="Arial Narrow" w:cs="Times New Roman"/>
                <w:color w:val="000000"/>
                <w:sz w:val="18"/>
                <w:szCs w:val="20"/>
                <w:lang w:eastAsia="es-MX"/>
              </w:rPr>
            </w:pPr>
            <w:r>
              <w:rPr>
                <w:rFonts w:ascii="Arial Narrow" w:eastAsia="Times New Roman" w:hAnsi="Arial Narrow" w:cs="Times New Roman"/>
                <w:color w:val="000000"/>
                <w:sz w:val="18"/>
                <w:szCs w:val="20"/>
                <w:lang w:eastAsia="es-MX"/>
              </w:rPr>
              <w:t>21,665</w:t>
            </w:r>
          </w:p>
        </w:tc>
      </w:tr>
      <w:tr w:rsidR="00CC381A" w:rsidRPr="002E5946" w:rsidTr="00CC381A">
        <w:trPr>
          <w:trHeight w:val="474"/>
        </w:trPr>
        <w:tc>
          <w:tcPr>
            <w:tcW w:w="2160" w:type="dxa"/>
            <w:tcBorders>
              <w:top w:val="nil"/>
              <w:left w:val="single" w:sz="8" w:space="0" w:color="auto"/>
              <w:bottom w:val="nil"/>
              <w:right w:val="single" w:sz="8" w:space="0" w:color="auto"/>
            </w:tcBorders>
            <w:shd w:val="clear" w:color="auto" w:fill="auto"/>
            <w:vAlign w:val="center"/>
            <w:hideMark/>
          </w:tcPr>
          <w:p w:rsidR="00CC381A" w:rsidRPr="00CC381A" w:rsidRDefault="00D27D18" w:rsidP="00D27D18">
            <w:pPr>
              <w:spacing w:after="0" w:line="240" w:lineRule="auto"/>
              <w:jc w:val="center"/>
              <w:rPr>
                <w:rFonts w:ascii="Arial Narrow" w:eastAsia="Times New Roman" w:hAnsi="Arial Narrow" w:cs="Times New Roman"/>
                <w:color w:val="000000"/>
                <w:sz w:val="18"/>
                <w:szCs w:val="20"/>
                <w:lang w:eastAsia="es-MX"/>
              </w:rPr>
            </w:pPr>
            <w:r>
              <w:rPr>
                <w:rFonts w:ascii="Arial Narrow" w:eastAsia="Times New Roman" w:hAnsi="Arial Narrow" w:cs="Times New Roman"/>
                <w:color w:val="000000"/>
                <w:sz w:val="18"/>
                <w:szCs w:val="20"/>
                <w:lang w:eastAsia="es-MX"/>
              </w:rPr>
              <w:t xml:space="preserve">Activos adquiridos después </w:t>
            </w:r>
            <w:r w:rsidR="00CC381A" w:rsidRPr="00CC381A">
              <w:rPr>
                <w:rFonts w:ascii="Arial Narrow" w:eastAsia="Times New Roman" w:hAnsi="Arial Narrow" w:cs="Times New Roman"/>
                <w:color w:val="000000"/>
                <w:sz w:val="18"/>
                <w:szCs w:val="20"/>
                <w:lang w:eastAsia="es-MX"/>
              </w:rPr>
              <w:t xml:space="preserve">de </w:t>
            </w:r>
            <w:r>
              <w:rPr>
                <w:rFonts w:ascii="Arial Narrow" w:eastAsia="Times New Roman" w:hAnsi="Arial Narrow" w:cs="Times New Roman"/>
                <w:color w:val="000000"/>
                <w:sz w:val="18"/>
                <w:szCs w:val="20"/>
                <w:lang w:eastAsia="es-MX"/>
              </w:rPr>
              <w:t>la extinción de</w:t>
            </w:r>
            <w:r w:rsidR="00AF7E8C">
              <w:rPr>
                <w:rFonts w:ascii="Arial Narrow" w:eastAsia="Times New Roman" w:hAnsi="Arial Narrow" w:cs="Times New Roman"/>
                <w:color w:val="000000"/>
                <w:sz w:val="18"/>
                <w:szCs w:val="20"/>
                <w:lang w:eastAsia="es-MX"/>
              </w:rPr>
              <w:t xml:space="preserve"> LyFC</w:t>
            </w:r>
          </w:p>
        </w:tc>
        <w:tc>
          <w:tcPr>
            <w:tcW w:w="799" w:type="dxa"/>
            <w:tcBorders>
              <w:top w:val="nil"/>
              <w:left w:val="nil"/>
              <w:bottom w:val="nil"/>
              <w:right w:val="single" w:sz="8" w:space="0" w:color="auto"/>
            </w:tcBorders>
            <w:shd w:val="clear" w:color="auto" w:fill="auto"/>
            <w:vAlign w:val="center"/>
            <w:hideMark/>
          </w:tcPr>
          <w:p w:rsidR="00CC381A" w:rsidRPr="00CC381A" w:rsidRDefault="00082F7D" w:rsidP="00CC381A">
            <w:pPr>
              <w:spacing w:after="0" w:line="240" w:lineRule="auto"/>
              <w:jc w:val="center"/>
              <w:rPr>
                <w:rFonts w:ascii="Arial Narrow" w:eastAsia="Times New Roman" w:hAnsi="Arial Narrow" w:cs="Times New Roman"/>
                <w:color w:val="000000"/>
                <w:sz w:val="18"/>
                <w:szCs w:val="20"/>
                <w:lang w:eastAsia="es-MX"/>
              </w:rPr>
            </w:pPr>
            <w:r>
              <w:rPr>
                <w:rFonts w:ascii="Arial Narrow" w:eastAsia="Times New Roman" w:hAnsi="Arial Narrow" w:cs="Times New Roman"/>
                <w:color w:val="000000"/>
                <w:sz w:val="18"/>
                <w:szCs w:val="20"/>
                <w:lang w:eastAsia="es-MX"/>
              </w:rPr>
              <w:t>1,405</w:t>
            </w:r>
          </w:p>
        </w:tc>
      </w:tr>
      <w:tr w:rsidR="00CC381A" w:rsidRPr="002E5946" w:rsidTr="00CC381A">
        <w:trPr>
          <w:trHeight w:val="279"/>
        </w:trPr>
        <w:tc>
          <w:tcPr>
            <w:tcW w:w="2160" w:type="dxa"/>
            <w:tcBorders>
              <w:top w:val="nil"/>
              <w:left w:val="single" w:sz="8" w:space="0" w:color="auto"/>
              <w:bottom w:val="single" w:sz="4" w:space="0" w:color="auto"/>
              <w:right w:val="single" w:sz="8" w:space="0" w:color="auto"/>
            </w:tcBorders>
            <w:shd w:val="clear" w:color="auto" w:fill="auto"/>
            <w:vAlign w:val="center"/>
            <w:hideMark/>
          </w:tcPr>
          <w:p w:rsidR="00CC381A" w:rsidRPr="00CC381A" w:rsidRDefault="00CC381A" w:rsidP="00CC381A">
            <w:pPr>
              <w:spacing w:after="0" w:line="240" w:lineRule="auto"/>
              <w:jc w:val="center"/>
              <w:rPr>
                <w:rFonts w:ascii="Arial Narrow" w:eastAsia="Times New Roman" w:hAnsi="Arial Narrow" w:cs="Times New Roman"/>
                <w:color w:val="000000"/>
                <w:sz w:val="18"/>
                <w:szCs w:val="20"/>
                <w:lang w:eastAsia="es-MX"/>
              </w:rPr>
            </w:pPr>
            <w:r w:rsidRPr="00CC381A">
              <w:rPr>
                <w:rFonts w:ascii="Arial Narrow" w:eastAsia="Times New Roman" w:hAnsi="Arial Narrow" w:cs="Times New Roman"/>
                <w:color w:val="000000"/>
                <w:sz w:val="18"/>
                <w:szCs w:val="20"/>
                <w:lang w:eastAsia="es-MX"/>
              </w:rPr>
              <w:t>Depreciación</w:t>
            </w:r>
          </w:p>
        </w:tc>
        <w:tc>
          <w:tcPr>
            <w:tcW w:w="799" w:type="dxa"/>
            <w:tcBorders>
              <w:top w:val="nil"/>
              <w:left w:val="nil"/>
              <w:bottom w:val="single" w:sz="4" w:space="0" w:color="auto"/>
              <w:right w:val="single" w:sz="8" w:space="0" w:color="auto"/>
            </w:tcBorders>
            <w:shd w:val="clear" w:color="auto" w:fill="auto"/>
            <w:vAlign w:val="center"/>
            <w:hideMark/>
          </w:tcPr>
          <w:p w:rsidR="00CC381A" w:rsidRPr="00CC381A" w:rsidRDefault="00082F7D" w:rsidP="00CC381A">
            <w:pPr>
              <w:spacing w:after="0" w:line="240" w:lineRule="auto"/>
              <w:jc w:val="center"/>
              <w:rPr>
                <w:rFonts w:ascii="Arial Narrow" w:eastAsia="Times New Roman" w:hAnsi="Arial Narrow" w:cs="Times New Roman"/>
                <w:color w:val="000000"/>
                <w:sz w:val="18"/>
                <w:szCs w:val="20"/>
                <w:lang w:eastAsia="es-MX"/>
              </w:rPr>
            </w:pPr>
            <w:r>
              <w:rPr>
                <w:rFonts w:ascii="Arial Narrow" w:eastAsia="Times New Roman" w:hAnsi="Arial Narrow" w:cs="Times New Roman"/>
                <w:color w:val="000000"/>
                <w:sz w:val="18"/>
                <w:szCs w:val="20"/>
                <w:lang w:eastAsia="es-MX"/>
              </w:rPr>
              <w:t>9,475</w:t>
            </w:r>
          </w:p>
        </w:tc>
      </w:tr>
      <w:tr w:rsidR="00CC381A" w:rsidRPr="00CC381A" w:rsidTr="00CC381A">
        <w:trPr>
          <w:trHeight w:val="293"/>
        </w:trPr>
        <w:tc>
          <w:tcPr>
            <w:tcW w:w="216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C381A" w:rsidRPr="00CC381A" w:rsidRDefault="00CC381A" w:rsidP="00CC381A">
            <w:pPr>
              <w:spacing w:after="0" w:line="240" w:lineRule="auto"/>
              <w:jc w:val="center"/>
              <w:rPr>
                <w:rFonts w:ascii="Arial Narrow" w:eastAsia="Times New Roman" w:hAnsi="Arial Narrow" w:cs="Times New Roman"/>
                <w:b/>
                <w:color w:val="000000"/>
                <w:sz w:val="18"/>
                <w:szCs w:val="20"/>
                <w:lang w:eastAsia="es-MX"/>
              </w:rPr>
            </w:pPr>
            <w:r w:rsidRPr="00CC381A">
              <w:rPr>
                <w:rFonts w:ascii="Arial Narrow" w:eastAsia="Times New Roman" w:hAnsi="Arial Narrow" w:cs="Times New Roman"/>
                <w:b/>
                <w:color w:val="000000"/>
                <w:sz w:val="18"/>
                <w:szCs w:val="20"/>
                <w:lang w:eastAsia="es-MX"/>
              </w:rPr>
              <w:t>Costo de capital</w:t>
            </w:r>
          </w:p>
        </w:tc>
        <w:tc>
          <w:tcPr>
            <w:tcW w:w="799" w:type="dxa"/>
            <w:tcBorders>
              <w:top w:val="single" w:sz="4" w:space="0" w:color="auto"/>
              <w:left w:val="nil"/>
              <w:bottom w:val="single" w:sz="8" w:space="0" w:color="auto"/>
              <w:right w:val="single" w:sz="8" w:space="0" w:color="auto"/>
            </w:tcBorders>
            <w:shd w:val="clear" w:color="auto" w:fill="auto"/>
            <w:vAlign w:val="center"/>
            <w:hideMark/>
          </w:tcPr>
          <w:p w:rsidR="00CC381A" w:rsidRPr="00CC381A" w:rsidRDefault="00082F7D" w:rsidP="00CC381A">
            <w:pPr>
              <w:spacing w:after="0" w:line="240" w:lineRule="auto"/>
              <w:jc w:val="center"/>
              <w:rPr>
                <w:rFonts w:ascii="Arial Narrow" w:eastAsia="Times New Roman" w:hAnsi="Arial Narrow" w:cs="Times New Roman"/>
                <w:b/>
                <w:color w:val="000000"/>
                <w:sz w:val="18"/>
                <w:szCs w:val="20"/>
                <w:lang w:eastAsia="es-MX"/>
              </w:rPr>
            </w:pPr>
            <w:r>
              <w:rPr>
                <w:rFonts w:ascii="Arial Narrow" w:eastAsia="Times New Roman" w:hAnsi="Arial Narrow" w:cs="Times New Roman"/>
                <w:b/>
                <w:color w:val="000000"/>
                <w:sz w:val="18"/>
                <w:szCs w:val="20"/>
                <w:lang w:eastAsia="es-MX"/>
              </w:rPr>
              <w:t>32,544</w:t>
            </w:r>
          </w:p>
        </w:tc>
      </w:tr>
    </w:tbl>
    <w:p w:rsidR="00626047" w:rsidRPr="00A34C2E" w:rsidRDefault="00A82A36" w:rsidP="009465C0">
      <w:pPr>
        <w:pStyle w:val="Descripcin"/>
        <w:jc w:val="center"/>
        <w:rPr>
          <w:sz w:val="20"/>
          <w:szCs w:val="20"/>
        </w:rPr>
      </w:pPr>
      <w:r w:rsidRPr="00A34C2E">
        <w:rPr>
          <w:sz w:val="20"/>
          <w:szCs w:val="20"/>
        </w:rPr>
        <w:t xml:space="preserve">Tabla </w:t>
      </w:r>
      <w:r w:rsidRPr="00A34C2E">
        <w:rPr>
          <w:sz w:val="20"/>
          <w:szCs w:val="20"/>
        </w:rPr>
        <w:fldChar w:fldCharType="begin"/>
      </w:r>
      <w:r w:rsidRPr="00A34C2E">
        <w:rPr>
          <w:sz w:val="20"/>
          <w:szCs w:val="20"/>
        </w:rPr>
        <w:instrText xml:space="preserve"> SEQ Tabla \* ARABIC </w:instrText>
      </w:r>
      <w:r w:rsidRPr="00A34C2E">
        <w:rPr>
          <w:sz w:val="20"/>
          <w:szCs w:val="20"/>
        </w:rPr>
        <w:fldChar w:fldCharType="separate"/>
      </w:r>
      <w:r w:rsidR="001505BF" w:rsidRPr="00A34C2E">
        <w:rPr>
          <w:noProof/>
          <w:sz w:val="20"/>
          <w:szCs w:val="20"/>
        </w:rPr>
        <w:t>3</w:t>
      </w:r>
      <w:r w:rsidRPr="00A34C2E">
        <w:rPr>
          <w:sz w:val="20"/>
          <w:szCs w:val="20"/>
        </w:rPr>
        <w:fldChar w:fldCharType="end"/>
      </w:r>
      <w:r w:rsidRPr="00A34C2E">
        <w:rPr>
          <w:sz w:val="20"/>
          <w:szCs w:val="20"/>
        </w:rPr>
        <w:t>. Costo de capita</w:t>
      </w:r>
      <w:r w:rsidR="00BF7491" w:rsidRPr="00A34C2E">
        <w:rPr>
          <w:sz w:val="20"/>
          <w:szCs w:val="20"/>
        </w:rPr>
        <w:t>l 2014</w:t>
      </w:r>
    </w:p>
    <w:p w:rsidR="0091103D" w:rsidRPr="00920FD5" w:rsidRDefault="0091103D" w:rsidP="00F71012">
      <w:pPr>
        <w:spacing w:after="0" w:line="240" w:lineRule="auto"/>
        <w:jc w:val="both"/>
        <w:rPr>
          <w:rFonts w:ascii="Arial Narrow" w:hAnsi="Arial Narrow" w:cs="Arial"/>
          <w:highlight w:val="yellow"/>
        </w:rPr>
      </w:pPr>
    </w:p>
    <w:p w:rsidR="0091103D" w:rsidRPr="00920FD5" w:rsidRDefault="0091103D" w:rsidP="00F71012">
      <w:pPr>
        <w:spacing w:after="0" w:line="240" w:lineRule="auto"/>
        <w:jc w:val="both"/>
        <w:rPr>
          <w:rFonts w:ascii="Arial Narrow" w:hAnsi="Arial Narrow" w:cs="Arial"/>
          <w:highlight w:val="yellow"/>
        </w:rPr>
      </w:pPr>
    </w:p>
    <w:p w:rsidR="0091103D" w:rsidRPr="00920FD5" w:rsidRDefault="0091103D" w:rsidP="00F71012">
      <w:pPr>
        <w:spacing w:after="0" w:line="240" w:lineRule="auto"/>
        <w:jc w:val="both"/>
        <w:rPr>
          <w:rFonts w:ascii="Arial Narrow" w:hAnsi="Arial Narrow" w:cs="Arial"/>
          <w:highlight w:val="yellow"/>
        </w:rPr>
      </w:pPr>
    </w:p>
    <w:p w:rsidR="0091103D" w:rsidRPr="00920FD5" w:rsidRDefault="0091103D" w:rsidP="00F71012">
      <w:pPr>
        <w:spacing w:after="0" w:line="240" w:lineRule="auto"/>
        <w:jc w:val="both"/>
        <w:rPr>
          <w:rFonts w:ascii="Arial Narrow" w:hAnsi="Arial Narrow" w:cs="Arial"/>
          <w:highlight w:val="yellow"/>
        </w:rPr>
      </w:pPr>
    </w:p>
    <w:p w:rsidR="009465C0" w:rsidRPr="00920FD5" w:rsidRDefault="009465C0" w:rsidP="00F71012">
      <w:pPr>
        <w:spacing w:after="0" w:line="240" w:lineRule="auto"/>
        <w:jc w:val="both"/>
        <w:rPr>
          <w:rFonts w:ascii="Arial Narrow" w:hAnsi="Arial Narrow" w:cs="Arial"/>
          <w:highlight w:val="yellow"/>
        </w:rPr>
      </w:pPr>
    </w:p>
    <w:p w:rsidR="00B35D10" w:rsidRDefault="00B35D10" w:rsidP="00AF79A3">
      <w:pPr>
        <w:spacing w:after="0" w:line="240" w:lineRule="auto"/>
        <w:jc w:val="both"/>
        <w:rPr>
          <w:rFonts w:ascii="Arial Narrow" w:hAnsi="Arial Narrow" w:cs="Arial"/>
        </w:rPr>
      </w:pPr>
    </w:p>
    <w:p w:rsidR="00B35D10" w:rsidRDefault="00B35D10" w:rsidP="00AF79A3">
      <w:pPr>
        <w:spacing w:after="0" w:line="240" w:lineRule="auto"/>
        <w:jc w:val="both"/>
        <w:rPr>
          <w:rFonts w:ascii="Arial Narrow" w:hAnsi="Arial Narrow" w:cs="Arial"/>
        </w:rPr>
      </w:pPr>
    </w:p>
    <w:p w:rsidR="00A34C2E" w:rsidRDefault="00164E24" w:rsidP="00AF79A3">
      <w:pPr>
        <w:spacing w:after="0" w:line="240" w:lineRule="auto"/>
        <w:jc w:val="both"/>
        <w:rPr>
          <w:rFonts w:ascii="Arial Narrow" w:hAnsi="Arial Narrow" w:cs="Arial"/>
        </w:rPr>
      </w:pPr>
      <w:r w:rsidRPr="00A34C2E">
        <w:rPr>
          <w:rFonts w:ascii="Arial Narrow" w:hAnsi="Arial Narrow" w:cs="Arial"/>
        </w:rPr>
        <w:t xml:space="preserve">Adicionalmente, la siguiente </w:t>
      </w:r>
      <w:r w:rsidR="00217F1A" w:rsidRPr="00A34C2E">
        <w:rPr>
          <w:rFonts w:ascii="Arial Narrow" w:hAnsi="Arial Narrow" w:cs="Arial"/>
        </w:rPr>
        <w:t xml:space="preserve">tabla </w:t>
      </w:r>
      <w:r w:rsidR="008F66CD" w:rsidRPr="00A34C2E">
        <w:rPr>
          <w:rFonts w:ascii="Arial Narrow" w:hAnsi="Arial Narrow" w:cs="Arial"/>
        </w:rPr>
        <w:t xml:space="preserve">muestra </w:t>
      </w:r>
      <w:r w:rsidR="00217F1A" w:rsidRPr="00A34C2E">
        <w:rPr>
          <w:rFonts w:ascii="Arial Narrow" w:hAnsi="Arial Narrow" w:cs="Arial"/>
        </w:rPr>
        <w:t>el cos</w:t>
      </w:r>
      <w:r w:rsidRPr="00A34C2E">
        <w:rPr>
          <w:rFonts w:ascii="Arial Narrow" w:hAnsi="Arial Narrow" w:cs="Arial"/>
        </w:rPr>
        <w:t xml:space="preserve">to de capital </w:t>
      </w:r>
      <w:r w:rsidR="008F66CD" w:rsidRPr="00A34C2E">
        <w:rPr>
          <w:rFonts w:ascii="Arial Narrow" w:hAnsi="Arial Narrow" w:cs="Arial"/>
        </w:rPr>
        <w:t>reconoci</w:t>
      </w:r>
      <w:r w:rsidR="00AF79A3">
        <w:rPr>
          <w:rFonts w:ascii="Arial Narrow" w:hAnsi="Arial Narrow" w:cs="Arial"/>
        </w:rPr>
        <w:t>do por división de D</w:t>
      </w:r>
      <w:r w:rsidR="009465C0" w:rsidRPr="00A34C2E">
        <w:rPr>
          <w:rFonts w:ascii="Arial Narrow" w:hAnsi="Arial Narrow" w:cs="Arial"/>
        </w:rPr>
        <w:t>istribución.</w:t>
      </w:r>
    </w:p>
    <w:p w:rsidR="00AF79A3" w:rsidRPr="00AF79A3" w:rsidRDefault="00AF79A3" w:rsidP="00AF79A3">
      <w:pPr>
        <w:spacing w:after="0" w:line="240" w:lineRule="auto"/>
        <w:jc w:val="both"/>
        <w:rPr>
          <w:rFonts w:ascii="Arial Narrow" w:hAnsi="Arial Narrow" w:cs="Arial"/>
        </w:rPr>
      </w:pPr>
    </w:p>
    <w:p w:rsidR="00217F1A" w:rsidRDefault="00217F1A" w:rsidP="00AF79A3">
      <w:pPr>
        <w:pStyle w:val="Descripcin"/>
        <w:spacing w:after="120"/>
        <w:jc w:val="center"/>
        <w:rPr>
          <w:sz w:val="20"/>
          <w:szCs w:val="20"/>
        </w:rPr>
      </w:pPr>
      <w:r w:rsidRPr="00A34C2E">
        <w:rPr>
          <w:sz w:val="20"/>
          <w:szCs w:val="20"/>
        </w:rPr>
        <w:t xml:space="preserve">Tabla </w:t>
      </w:r>
      <w:r w:rsidRPr="00A34C2E">
        <w:rPr>
          <w:sz w:val="20"/>
          <w:szCs w:val="20"/>
        </w:rPr>
        <w:fldChar w:fldCharType="begin"/>
      </w:r>
      <w:r w:rsidRPr="00A34C2E">
        <w:rPr>
          <w:sz w:val="20"/>
          <w:szCs w:val="20"/>
        </w:rPr>
        <w:instrText xml:space="preserve"> SEQ Tabla \* ARABIC </w:instrText>
      </w:r>
      <w:r w:rsidRPr="00A34C2E">
        <w:rPr>
          <w:sz w:val="20"/>
          <w:szCs w:val="20"/>
        </w:rPr>
        <w:fldChar w:fldCharType="separate"/>
      </w:r>
      <w:r w:rsidR="00E61BAB" w:rsidRPr="00A34C2E">
        <w:rPr>
          <w:noProof/>
          <w:sz w:val="20"/>
          <w:szCs w:val="20"/>
        </w:rPr>
        <w:t>4</w:t>
      </w:r>
      <w:r w:rsidRPr="00A34C2E">
        <w:rPr>
          <w:sz w:val="20"/>
          <w:szCs w:val="20"/>
        </w:rPr>
        <w:fldChar w:fldCharType="end"/>
      </w:r>
      <w:r w:rsidRPr="00A34C2E">
        <w:rPr>
          <w:sz w:val="20"/>
          <w:szCs w:val="20"/>
        </w:rPr>
        <w:t>. Costo de capital</w:t>
      </w:r>
      <w:r w:rsidR="00B62CCB" w:rsidRPr="00A34C2E">
        <w:rPr>
          <w:sz w:val="20"/>
          <w:szCs w:val="20"/>
        </w:rPr>
        <w:t xml:space="preserve"> por división de distribución</w:t>
      </w:r>
    </w:p>
    <w:tbl>
      <w:tblPr>
        <w:tblW w:w="0" w:type="auto"/>
        <w:jc w:val="center"/>
        <w:tblCellMar>
          <w:left w:w="70" w:type="dxa"/>
          <w:right w:w="70" w:type="dxa"/>
        </w:tblCellMar>
        <w:tblLook w:val="04A0" w:firstRow="1" w:lastRow="0" w:firstColumn="1" w:lastColumn="0" w:noHBand="0" w:noVBand="1"/>
      </w:tblPr>
      <w:tblGrid>
        <w:gridCol w:w="1830"/>
        <w:gridCol w:w="1040"/>
      </w:tblGrid>
      <w:tr w:rsidR="00AF7E8C" w:rsidRPr="00D90AA3" w:rsidTr="00C71743">
        <w:trPr>
          <w:trHeight w:val="20"/>
          <w:jc w:val="center"/>
        </w:trPr>
        <w:tc>
          <w:tcPr>
            <w:tcW w:w="0" w:type="auto"/>
            <w:tcBorders>
              <w:top w:val="single" w:sz="8" w:space="0" w:color="auto"/>
              <w:left w:val="single" w:sz="8" w:space="0" w:color="auto"/>
              <w:bottom w:val="single" w:sz="8" w:space="0" w:color="000000"/>
              <w:right w:val="single" w:sz="8" w:space="0" w:color="auto"/>
            </w:tcBorders>
            <w:shd w:val="clear" w:color="auto" w:fill="365F91" w:themeFill="accent1" w:themeFillShade="BF"/>
            <w:vAlign w:val="center"/>
            <w:hideMark/>
          </w:tcPr>
          <w:p w:rsidR="00AF7E8C" w:rsidRDefault="00AF7E8C" w:rsidP="00C71743">
            <w:pPr>
              <w:spacing w:after="0" w:line="240" w:lineRule="auto"/>
              <w:jc w:val="center"/>
              <w:rPr>
                <w:rFonts w:ascii="Arial Narrow" w:eastAsia="Times New Roman" w:hAnsi="Arial Narrow" w:cs="Times New Roman"/>
                <w:b/>
                <w:bCs/>
                <w:color w:val="FFFFFF"/>
                <w:sz w:val="18"/>
                <w:szCs w:val="18"/>
                <w:lang w:eastAsia="es-MX"/>
              </w:rPr>
            </w:pPr>
            <w:r w:rsidRPr="00D90AA3">
              <w:rPr>
                <w:rFonts w:ascii="Arial Narrow" w:eastAsia="Times New Roman" w:hAnsi="Arial Narrow" w:cs="Times New Roman"/>
                <w:b/>
                <w:bCs/>
                <w:color w:val="FFFFFF"/>
                <w:sz w:val="18"/>
                <w:szCs w:val="18"/>
                <w:lang w:eastAsia="es-MX"/>
              </w:rPr>
              <w:t>División de Distribución</w:t>
            </w:r>
          </w:p>
          <w:p w:rsidR="00AF7E8C" w:rsidRPr="007B6F5C" w:rsidRDefault="00AF7E8C" w:rsidP="00C71743">
            <w:pPr>
              <w:spacing w:after="0" w:line="240" w:lineRule="auto"/>
              <w:jc w:val="center"/>
              <w:rPr>
                <w:rFonts w:ascii="Arial Narrow" w:eastAsia="Times New Roman" w:hAnsi="Arial Narrow" w:cs="Times New Roman"/>
                <w:b/>
                <w:bCs/>
                <w:i/>
                <w:color w:val="FFFFFF"/>
                <w:sz w:val="18"/>
                <w:szCs w:val="18"/>
                <w:lang w:eastAsia="es-MX"/>
              </w:rPr>
            </w:pPr>
            <w:r w:rsidRPr="007B6F5C">
              <w:rPr>
                <w:rFonts w:ascii="Arial Narrow" w:eastAsia="Times New Roman" w:hAnsi="Arial Narrow" w:cs="Times New Roman"/>
                <w:b/>
                <w:bCs/>
                <w:i/>
                <w:color w:val="FFFFFF"/>
                <w:sz w:val="14"/>
                <w:szCs w:val="18"/>
                <w:lang w:eastAsia="es-MX"/>
              </w:rPr>
              <w:t>(millones de pesos)</w:t>
            </w:r>
          </w:p>
        </w:tc>
        <w:tc>
          <w:tcPr>
            <w:tcW w:w="1040" w:type="dxa"/>
            <w:tcBorders>
              <w:top w:val="single" w:sz="8" w:space="0" w:color="auto"/>
              <w:left w:val="nil"/>
              <w:bottom w:val="nil"/>
              <w:right w:val="single" w:sz="8" w:space="0" w:color="auto"/>
            </w:tcBorders>
            <w:shd w:val="clear" w:color="auto" w:fill="365F91" w:themeFill="accent1" w:themeFillShade="BF"/>
            <w:vAlign w:val="center"/>
            <w:hideMark/>
          </w:tcPr>
          <w:p w:rsidR="00AF7E8C" w:rsidRDefault="00AF7E8C" w:rsidP="00C71743">
            <w:pPr>
              <w:spacing w:after="0" w:line="240" w:lineRule="auto"/>
              <w:jc w:val="center"/>
              <w:rPr>
                <w:rFonts w:ascii="Arial Narrow" w:eastAsia="Times New Roman" w:hAnsi="Arial Narrow" w:cs="Times New Roman"/>
                <w:b/>
                <w:bCs/>
                <w:color w:val="FFFFFF"/>
                <w:sz w:val="18"/>
                <w:szCs w:val="18"/>
                <w:lang w:eastAsia="es-MX"/>
              </w:rPr>
            </w:pPr>
            <w:r>
              <w:rPr>
                <w:rFonts w:ascii="Arial Narrow" w:eastAsia="Times New Roman" w:hAnsi="Arial Narrow" w:cs="Times New Roman"/>
                <w:b/>
                <w:bCs/>
                <w:color w:val="FFFFFF"/>
                <w:sz w:val="18"/>
                <w:szCs w:val="18"/>
                <w:lang w:eastAsia="es-MX"/>
              </w:rPr>
              <w:t>Costo de</w:t>
            </w:r>
          </w:p>
          <w:p w:rsidR="00AF7E8C" w:rsidRPr="00D90AA3" w:rsidRDefault="00AF7E8C" w:rsidP="00C71743">
            <w:pPr>
              <w:spacing w:after="0" w:line="240" w:lineRule="auto"/>
              <w:jc w:val="center"/>
              <w:rPr>
                <w:rFonts w:ascii="Arial Narrow" w:eastAsia="Times New Roman" w:hAnsi="Arial Narrow" w:cs="Times New Roman"/>
                <w:b/>
                <w:bCs/>
                <w:color w:val="FFFFFF"/>
                <w:sz w:val="18"/>
                <w:szCs w:val="18"/>
                <w:lang w:eastAsia="es-MX"/>
              </w:rPr>
            </w:pPr>
            <w:r>
              <w:rPr>
                <w:rFonts w:ascii="Arial Narrow" w:eastAsia="Times New Roman" w:hAnsi="Arial Narrow" w:cs="Times New Roman"/>
                <w:b/>
                <w:bCs/>
                <w:color w:val="FFFFFF"/>
                <w:sz w:val="18"/>
                <w:szCs w:val="18"/>
                <w:lang w:eastAsia="es-MX"/>
              </w:rPr>
              <w:t>capital</w:t>
            </w:r>
          </w:p>
        </w:tc>
      </w:tr>
      <w:tr w:rsidR="00AF7E8C" w:rsidRPr="00D90AA3" w:rsidTr="00C71743">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AF7E8C" w:rsidRPr="00D90AA3" w:rsidRDefault="00AF7E8C" w:rsidP="00AF7E8C">
            <w:pPr>
              <w:spacing w:after="0" w:line="240" w:lineRule="auto"/>
              <w:jc w:val="both"/>
              <w:rPr>
                <w:rFonts w:ascii="Arial Narrow" w:eastAsia="Times New Roman" w:hAnsi="Arial Narrow" w:cs="Times New Roman"/>
                <w:sz w:val="18"/>
                <w:szCs w:val="18"/>
                <w:lang w:eastAsia="es-MX"/>
              </w:rPr>
            </w:pPr>
            <w:r w:rsidRPr="00D90AA3">
              <w:rPr>
                <w:rFonts w:ascii="Arial Narrow" w:eastAsia="Times New Roman" w:hAnsi="Arial Narrow" w:cs="Times New Roman"/>
                <w:sz w:val="18"/>
                <w:szCs w:val="18"/>
                <w:lang w:val="es-AR" w:eastAsia="es-MX"/>
              </w:rPr>
              <w:t>BAJA CALIFORNIA</w:t>
            </w:r>
          </w:p>
        </w:tc>
        <w:tc>
          <w:tcPr>
            <w:tcW w:w="1040" w:type="dxa"/>
            <w:tcBorders>
              <w:top w:val="single" w:sz="8" w:space="0" w:color="auto"/>
              <w:left w:val="nil"/>
              <w:bottom w:val="single" w:sz="8" w:space="0" w:color="FFFFFF"/>
              <w:right w:val="single" w:sz="8" w:space="0" w:color="auto"/>
            </w:tcBorders>
            <w:shd w:val="clear" w:color="auto" w:fill="auto"/>
            <w:vAlign w:val="center"/>
            <w:hideMark/>
          </w:tcPr>
          <w:p w:rsidR="00AF7E8C" w:rsidRPr="00AF7E8C" w:rsidRDefault="00AF7E8C" w:rsidP="00AF7E8C">
            <w:pPr>
              <w:spacing w:after="0" w:line="240" w:lineRule="auto"/>
              <w:jc w:val="center"/>
              <w:rPr>
                <w:rFonts w:ascii="Arial Narrow" w:eastAsia="Times New Roman" w:hAnsi="Arial Narrow" w:cs="Times New Roman"/>
                <w:sz w:val="18"/>
                <w:szCs w:val="18"/>
                <w:lang w:eastAsia="es-MX"/>
              </w:rPr>
            </w:pPr>
            <w:r w:rsidRPr="00AF7E8C">
              <w:rPr>
                <w:rFonts w:ascii="Arial Narrow" w:eastAsia="Times New Roman" w:hAnsi="Arial Narrow" w:cs="Times New Roman"/>
                <w:sz w:val="18"/>
                <w:szCs w:val="20"/>
                <w:lang w:eastAsia="es-MX"/>
              </w:rPr>
              <w:t>1,590.94</w:t>
            </w:r>
          </w:p>
        </w:tc>
      </w:tr>
      <w:tr w:rsidR="00AF7E8C" w:rsidRPr="00D90AA3" w:rsidTr="00C71743">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AF7E8C" w:rsidRPr="00D90AA3" w:rsidRDefault="00AF7E8C" w:rsidP="00AF7E8C">
            <w:pPr>
              <w:spacing w:after="0" w:line="240" w:lineRule="auto"/>
              <w:jc w:val="both"/>
              <w:rPr>
                <w:rFonts w:ascii="Arial Narrow" w:eastAsia="Times New Roman" w:hAnsi="Arial Narrow" w:cs="Times New Roman"/>
                <w:sz w:val="18"/>
                <w:szCs w:val="18"/>
                <w:lang w:eastAsia="es-MX"/>
              </w:rPr>
            </w:pPr>
            <w:r w:rsidRPr="00D90AA3">
              <w:rPr>
                <w:rFonts w:ascii="Arial Narrow" w:eastAsia="Times New Roman" w:hAnsi="Arial Narrow" w:cs="Times New Roman"/>
                <w:sz w:val="18"/>
                <w:szCs w:val="18"/>
                <w:lang w:val="es-AR" w:eastAsia="es-MX"/>
              </w:rPr>
              <w:t>BAJIO</w:t>
            </w:r>
          </w:p>
        </w:tc>
        <w:tc>
          <w:tcPr>
            <w:tcW w:w="1040" w:type="dxa"/>
            <w:tcBorders>
              <w:top w:val="nil"/>
              <w:left w:val="nil"/>
              <w:bottom w:val="single" w:sz="8" w:space="0" w:color="FFFFFF"/>
              <w:right w:val="single" w:sz="8" w:space="0" w:color="auto"/>
            </w:tcBorders>
            <w:shd w:val="clear" w:color="auto" w:fill="auto"/>
            <w:vAlign w:val="center"/>
            <w:hideMark/>
          </w:tcPr>
          <w:p w:rsidR="00AF7E8C" w:rsidRPr="00AF7E8C" w:rsidRDefault="00AF7E8C" w:rsidP="00AF7E8C">
            <w:pPr>
              <w:spacing w:after="0" w:line="240" w:lineRule="auto"/>
              <w:jc w:val="center"/>
              <w:rPr>
                <w:rFonts w:ascii="Arial Narrow" w:eastAsia="Times New Roman" w:hAnsi="Arial Narrow" w:cs="Times New Roman"/>
                <w:sz w:val="18"/>
                <w:szCs w:val="18"/>
                <w:lang w:eastAsia="es-MX"/>
              </w:rPr>
            </w:pPr>
            <w:r w:rsidRPr="00AF7E8C">
              <w:rPr>
                <w:rFonts w:ascii="Arial Narrow" w:eastAsia="Times New Roman" w:hAnsi="Arial Narrow" w:cs="Times New Roman"/>
                <w:sz w:val="18"/>
                <w:szCs w:val="20"/>
                <w:lang w:eastAsia="es-MX"/>
              </w:rPr>
              <w:t>3,416.22</w:t>
            </w:r>
          </w:p>
        </w:tc>
      </w:tr>
      <w:tr w:rsidR="00AF7E8C" w:rsidRPr="00D90AA3" w:rsidTr="00C71743">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AF7E8C" w:rsidRPr="00D90AA3" w:rsidRDefault="00AF7E8C" w:rsidP="00AF7E8C">
            <w:pPr>
              <w:spacing w:after="0" w:line="240" w:lineRule="auto"/>
              <w:jc w:val="both"/>
              <w:rPr>
                <w:rFonts w:ascii="Arial Narrow" w:eastAsia="Times New Roman" w:hAnsi="Arial Narrow" w:cs="Times New Roman"/>
                <w:sz w:val="18"/>
                <w:szCs w:val="18"/>
                <w:lang w:eastAsia="es-MX"/>
              </w:rPr>
            </w:pPr>
            <w:r w:rsidRPr="00D90AA3">
              <w:rPr>
                <w:rFonts w:ascii="Arial Narrow" w:eastAsia="Times New Roman" w:hAnsi="Arial Narrow" w:cs="Times New Roman"/>
                <w:sz w:val="18"/>
                <w:szCs w:val="18"/>
                <w:lang w:val="es-AR" w:eastAsia="es-MX"/>
              </w:rPr>
              <w:t>CENTRO OCCIDENTE</w:t>
            </w:r>
          </w:p>
        </w:tc>
        <w:tc>
          <w:tcPr>
            <w:tcW w:w="1040" w:type="dxa"/>
            <w:tcBorders>
              <w:top w:val="nil"/>
              <w:left w:val="nil"/>
              <w:bottom w:val="single" w:sz="8" w:space="0" w:color="FFFFFF"/>
              <w:right w:val="single" w:sz="8" w:space="0" w:color="auto"/>
            </w:tcBorders>
            <w:shd w:val="clear" w:color="auto" w:fill="auto"/>
            <w:vAlign w:val="center"/>
            <w:hideMark/>
          </w:tcPr>
          <w:p w:rsidR="00AF7E8C" w:rsidRPr="00AF7E8C" w:rsidRDefault="00AF7E8C" w:rsidP="00AF7E8C">
            <w:pPr>
              <w:spacing w:after="0" w:line="240" w:lineRule="auto"/>
              <w:jc w:val="center"/>
              <w:rPr>
                <w:rFonts w:ascii="Arial Narrow" w:eastAsia="Times New Roman" w:hAnsi="Arial Narrow" w:cs="Times New Roman"/>
                <w:sz w:val="18"/>
                <w:szCs w:val="18"/>
                <w:lang w:eastAsia="es-MX"/>
              </w:rPr>
            </w:pPr>
            <w:r w:rsidRPr="00AF7E8C">
              <w:rPr>
                <w:rFonts w:ascii="Arial Narrow" w:eastAsia="Times New Roman" w:hAnsi="Arial Narrow" w:cs="Times New Roman"/>
                <w:sz w:val="18"/>
                <w:szCs w:val="20"/>
                <w:lang w:eastAsia="es-MX"/>
              </w:rPr>
              <w:t>2,059.59</w:t>
            </w:r>
          </w:p>
        </w:tc>
      </w:tr>
      <w:tr w:rsidR="00AF7E8C" w:rsidRPr="00D90AA3" w:rsidTr="00C71743">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AF7E8C" w:rsidRPr="00D90AA3" w:rsidRDefault="00AF7E8C" w:rsidP="00AF7E8C">
            <w:pPr>
              <w:spacing w:after="0" w:line="240" w:lineRule="auto"/>
              <w:jc w:val="both"/>
              <w:rPr>
                <w:rFonts w:ascii="Arial Narrow" w:eastAsia="Times New Roman" w:hAnsi="Arial Narrow" w:cs="Times New Roman"/>
                <w:sz w:val="18"/>
                <w:szCs w:val="18"/>
                <w:lang w:eastAsia="es-MX"/>
              </w:rPr>
            </w:pPr>
            <w:r w:rsidRPr="00D90AA3">
              <w:rPr>
                <w:rFonts w:ascii="Arial Narrow" w:eastAsia="Times New Roman" w:hAnsi="Arial Narrow" w:cs="Times New Roman"/>
                <w:sz w:val="18"/>
                <w:szCs w:val="18"/>
                <w:lang w:val="es-AR" w:eastAsia="es-MX"/>
              </w:rPr>
              <w:t>CENTRO ORIENTE</w:t>
            </w:r>
          </w:p>
        </w:tc>
        <w:tc>
          <w:tcPr>
            <w:tcW w:w="1040" w:type="dxa"/>
            <w:tcBorders>
              <w:top w:val="nil"/>
              <w:left w:val="nil"/>
              <w:bottom w:val="single" w:sz="8" w:space="0" w:color="FFFFFF"/>
              <w:right w:val="single" w:sz="8" w:space="0" w:color="auto"/>
            </w:tcBorders>
            <w:shd w:val="clear" w:color="auto" w:fill="auto"/>
            <w:vAlign w:val="center"/>
            <w:hideMark/>
          </w:tcPr>
          <w:p w:rsidR="00AF7E8C" w:rsidRPr="00AF7E8C" w:rsidRDefault="00AF7E8C" w:rsidP="00AF7E8C">
            <w:pPr>
              <w:spacing w:after="0" w:line="240" w:lineRule="auto"/>
              <w:jc w:val="center"/>
              <w:rPr>
                <w:rFonts w:ascii="Arial Narrow" w:eastAsia="Times New Roman" w:hAnsi="Arial Narrow" w:cs="Times New Roman"/>
                <w:sz w:val="18"/>
                <w:szCs w:val="18"/>
                <w:lang w:eastAsia="es-MX"/>
              </w:rPr>
            </w:pPr>
            <w:r w:rsidRPr="00AF7E8C">
              <w:rPr>
                <w:rFonts w:ascii="Arial Narrow" w:eastAsia="Times New Roman" w:hAnsi="Arial Narrow" w:cs="Times New Roman"/>
                <w:sz w:val="18"/>
                <w:szCs w:val="20"/>
                <w:lang w:eastAsia="es-MX"/>
              </w:rPr>
              <w:t>2,698.95</w:t>
            </w:r>
          </w:p>
        </w:tc>
      </w:tr>
      <w:tr w:rsidR="00AF7E8C" w:rsidRPr="00D90AA3" w:rsidTr="00C71743">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AF7E8C" w:rsidRPr="00D90AA3" w:rsidRDefault="00AF7E8C" w:rsidP="00AF7E8C">
            <w:pPr>
              <w:spacing w:after="0" w:line="240" w:lineRule="auto"/>
              <w:jc w:val="both"/>
              <w:rPr>
                <w:rFonts w:ascii="Arial Narrow" w:eastAsia="Times New Roman" w:hAnsi="Arial Narrow" w:cs="Times New Roman"/>
                <w:sz w:val="18"/>
                <w:szCs w:val="18"/>
                <w:lang w:eastAsia="es-MX"/>
              </w:rPr>
            </w:pPr>
            <w:r w:rsidRPr="00D90AA3">
              <w:rPr>
                <w:rFonts w:ascii="Arial Narrow" w:eastAsia="Times New Roman" w:hAnsi="Arial Narrow" w:cs="Times New Roman"/>
                <w:sz w:val="18"/>
                <w:szCs w:val="18"/>
                <w:lang w:val="es-AR" w:eastAsia="es-MX"/>
              </w:rPr>
              <w:t>CENTRO SUR</w:t>
            </w:r>
          </w:p>
        </w:tc>
        <w:tc>
          <w:tcPr>
            <w:tcW w:w="1040" w:type="dxa"/>
            <w:tcBorders>
              <w:top w:val="nil"/>
              <w:left w:val="nil"/>
              <w:bottom w:val="single" w:sz="8" w:space="0" w:color="FFFFFF"/>
              <w:right w:val="single" w:sz="8" w:space="0" w:color="auto"/>
            </w:tcBorders>
            <w:shd w:val="clear" w:color="auto" w:fill="auto"/>
            <w:vAlign w:val="center"/>
            <w:hideMark/>
          </w:tcPr>
          <w:p w:rsidR="00AF7E8C" w:rsidRPr="00AF7E8C" w:rsidRDefault="00AF7E8C" w:rsidP="00AF7E8C">
            <w:pPr>
              <w:spacing w:after="0" w:line="240" w:lineRule="auto"/>
              <w:jc w:val="center"/>
              <w:rPr>
                <w:rFonts w:ascii="Arial Narrow" w:eastAsia="Times New Roman" w:hAnsi="Arial Narrow" w:cs="Times New Roman"/>
                <w:sz w:val="18"/>
                <w:szCs w:val="18"/>
                <w:lang w:eastAsia="es-MX"/>
              </w:rPr>
            </w:pPr>
            <w:r w:rsidRPr="00AF7E8C">
              <w:rPr>
                <w:rFonts w:ascii="Arial Narrow" w:eastAsia="Times New Roman" w:hAnsi="Arial Narrow" w:cs="Times New Roman"/>
                <w:sz w:val="18"/>
                <w:szCs w:val="20"/>
                <w:lang w:eastAsia="es-MX"/>
              </w:rPr>
              <w:t>2,298.53</w:t>
            </w:r>
          </w:p>
        </w:tc>
      </w:tr>
      <w:tr w:rsidR="00AF7E8C" w:rsidRPr="00D90AA3" w:rsidTr="00C71743">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AF7E8C" w:rsidRPr="00D90AA3" w:rsidRDefault="00AF7E8C" w:rsidP="00AF7E8C">
            <w:pPr>
              <w:spacing w:after="0" w:line="240" w:lineRule="auto"/>
              <w:jc w:val="both"/>
              <w:rPr>
                <w:rFonts w:ascii="Arial Narrow" w:eastAsia="Times New Roman" w:hAnsi="Arial Narrow" w:cs="Times New Roman"/>
                <w:sz w:val="18"/>
                <w:szCs w:val="18"/>
                <w:lang w:eastAsia="es-MX"/>
              </w:rPr>
            </w:pPr>
            <w:r w:rsidRPr="00D90AA3">
              <w:rPr>
                <w:rFonts w:ascii="Arial Narrow" w:eastAsia="Times New Roman" w:hAnsi="Arial Narrow" w:cs="Times New Roman"/>
                <w:sz w:val="18"/>
                <w:szCs w:val="18"/>
                <w:lang w:val="es-AR" w:eastAsia="es-MX"/>
              </w:rPr>
              <w:t>GOLFO NORTE</w:t>
            </w:r>
          </w:p>
        </w:tc>
        <w:tc>
          <w:tcPr>
            <w:tcW w:w="1040" w:type="dxa"/>
            <w:tcBorders>
              <w:top w:val="nil"/>
              <w:left w:val="nil"/>
              <w:bottom w:val="single" w:sz="8" w:space="0" w:color="FFFFFF"/>
              <w:right w:val="single" w:sz="8" w:space="0" w:color="auto"/>
            </w:tcBorders>
            <w:shd w:val="clear" w:color="auto" w:fill="auto"/>
            <w:vAlign w:val="center"/>
            <w:hideMark/>
          </w:tcPr>
          <w:p w:rsidR="00AF7E8C" w:rsidRPr="00AF7E8C" w:rsidRDefault="00AF7E8C" w:rsidP="00AF7E8C">
            <w:pPr>
              <w:spacing w:after="0" w:line="240" w:lineRule="auto"/>
              <w:jc w:val="center"/>
              <w:rPr>
                <w:rFonts w:ascii="Arial Narrow" w:eastAsia="Times New Roman" w:hAnsi="Arial Narrow" w:cs="Times New Roman"/>
                <w:sz w:val="18"/>
                <w:szCs w:val="18"/>
                <w:lang w:eastAsia="es-MX"/>
              </w:rPr>
            </w:pPr>
            <w:r w:rsidRPr="00AF7E8C">
              <w:rPr>
                <w:rFonts w:ascii="Arial Narrow" w:eastAsia="Times New Roman" w:hAnsi="Arial Narrow" w:cs="Times New Roman"/>
                <w:sz w:val="18"/>
                <w:szCs w:val="20"/>
                <w:lang w:eastAsia="es-MX"/>
              </w:rPr>
              <w:t>1,781.12</w:t>
            </w:r>
          </w:p>
        </w:tc>
      </w:tr>
      <w:tr w:rsidR="00AF7E8C" w:rsidRPr="00D90AA3" w:rsidTr="00C71743">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AF7E8C" w:rsidRPr="00D90AA3" w:rsidRDefault="00AF7E8C" w:rsidP="00AF7E8C">
            <w:pPr>
              <w:spacing w:after="0" w:line="240" w:lineRule="auto"/>
              <w:jc w:val="both"/>
              <w:rPr>
                <w:rFonts w:ascii="Arial Narrow" w:eastAsia="Times New Roman" w:hAnsi="Arial Narrow" w:cs="Times New Roman"/>
                <w:sz w:val="18"/>
                <w:szCs w:val="18"/>
                <w:lang w:eastAsia="es-MX"/>
              </w:rPr>
            </w:pPr>
            <w:r w:rsidRPr="00D90AA3">
              <w:rPr>
                <w:rFonts w:ascii="Arial Narrow" w:eastAsia="Times New Roman" w:hAnsi="Arial Narrow" w:cs="Times New Roman"/>
                <w:sz w:val="18"/>
                <w:szCs w:val="18"/>
                <w:lang w:val="es-AR" w:eastAsia="es-MX"/>
              </w:rPr>
              <w:t>JALISCO</w:t>
            </w:r>
          </w:p>
        </w:tc>
        <w:tc>
          <w:tcPr>
            <w:tcW w:w="1040" w:type="dxa"/>
            <w:tcBorders>
              <w:top w:val="nil"/>
              <w:left w:val="nil"/>
              <w:bottom w:val="single" w:sz="8" w:space="0" w:color="FFFFFF"/>
              <w:right w:val="single" w:sz="8" w:space="0" w:color="auto"/>
            </w:tcBorders>
            <w:shd w:val="clear" w:color="auto" w:fill="auto"/>
            <w:vAlign w:val="center"/>
            <w:hideMark/>
          </w:tcPr>
          <w:p w:rsidR="00AF7E8C" w:rsidRPr="00AF7E8C" w:rsidRDefault="00AF7E8C" w:rsidP="00AF7E8C">
            <w:pPr>
              <w:spacing w:after="0" w:line="240" w:lineRule="auto"/>
              <w:jc w:val="center"/>
              <w:rPr>
                <w:rFonts w:ascii="Arial Narrow" w:eastAsia="Times New Roman" w:hAnsi="Arial Narrow" w:cs="Times New Roman"/>
                <w:sz w:val="18"/>
                <w:szCs w:val="18"/>
                <w:lang w:eastAsia="es-MX"/>
              </w:rPr>
            </w:pPr>
            <w:r w:rsidRPr="00AF7E8C">
              <w:rPr>
                <w:rFonts w:ascii="Arial Narrow" w:eastAsia="Times New Roman" w:hAnsi="Arial Narrow" w:cs="Times New Roman"/>
                <w:sz w:val="18"/>
                <w:szCs w:val="20"/>
                <w:lang w:eastAsia="es-MX"/>
              </w:rPr>
              <w:t>1,914.13</w:t>
            </w:r>
          </w:p>
        </w:tc>
      </w:tr>
      <w:tr w:rsidR="00AF7E8C" w:rsidRPr="00D90AA3" w:rsidTr="00C71743">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AF7E8C" w:rsidRPr="00D90AA3" w:rsidRDefault="00AF7E8C" w:rsidP="00AF7E8C">
            <w:pPr>
              <w:spacing w:after="0" w:line="240" w:lineRule="auto"/>
              <w:jc w:val="both"/>
              <w:rPr>
                <w:rFonts w:ascii="Arial Narrow" w:eastAsia="Times New Roman" w:hAnsi="Arial Narrow" w:cs="Times New Roman"/>
                <w:sz w:val="18"/>
                <w:szCs w:val="18"/>
                <w:lang w:eastAsia="es-MX"/>
              </w:rPr>
            </w:pPr>
            <w:r w:rsidRPr="00D90AA3">
              <w:rPr>
                <w:rFonts w:ascii="Arial Narrow" w:eastAsia="Times New Roman" w:hAnsi="Arial Narrow" w:cs="Times New Roman"/>
                <w:sz w:val="18"/>
                <w:szCs w:val="18"/>
                <w:lang w:val="es-AR" w:eastAsia="es-MX"/>
              </w:rPr>
              <w:t>NOROESTE</w:t>
            </w:r>
          </w:p>
        </w:tc>
        <w:tc>
          <w:tcPr>
            <w:tcW w:w="1040" w:type="dxa"/>
            <w:tcBorders>
              <w:top w:val="nil"/>
              <w:left w:val="nil"/>
              <w:bottom w:val="single" w:sz="8" w:space="0" w:color="FFFFFF"/>
              <w:right w:val="single" w:sz="8" w:space="0" w:color="auto"/>
            </w:tcBorders>
            <w:shd w:val="clear" w:color="auto" w:fill="auto"/>
            <w:vAlign w:val="center"/>
            <w:hideMark/>
          </w:tcPr>
          <w:p w:rsidR="00AF7E8C" w:rsidRPr="00AF7E8C" w:rsidRDefault="00AF7E8C" w:rsidP="00AF7E8C">
            <w:pPr>
              <w:spacing w:after="0" w:line="240" w:lineRule="auto"/>
              <w:jc w:val="center"/>
              <w:rPr>
                <w:rFonts w:ascii="Arial Narrow" w:eastAsia="Times New Roman" w:hAnsi="Arial Narrow" w:cs="Times New Roman"/>
                <w:sz w:val="18"/>
                <w:szCs w:val="18"/>
                <w:lang w:eastAsia="es-MX"/>
              </w:rPr>
            </w:pPr>
            <w:r w:rsidRPr="00AF7E8C">
              <w:rPr>
                <w:rFonts w:ascii="Arial Narrow" w:eastAsia="Times New Roman" w:hAnsi="Arial Narrow" w:cs="Times New Roman"/>
                <w:sz w:val="18"/>
                <w:szCs w:val="20"/>
                <w:lang w:eastAsia="es-MX"/>
              </w:rPr>
              <w:t>2,759.32</w:t>
            </w:r>
          </w:p>
        </w:tc>
      </w:tr>
      <w:tr w:rsidR="00AF7E8C" w:rsidRPr="00D90AA3" w:rsidTr="00C71743">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AF7E8C" w:rsidRPr="00D90AA3" w:rsidRDefault="00AF7E8C" w:rsidP="00AF7E8C">
            <w:pPr>
              <w:spacing w:after="0" w:line="240" w:lineRule="auto"/>
              <w:jc w:val="both"/>
              <w:rPr>
                <w:rFonts w:ascii="Arial Narrow" w:eastAsia="Times New Roman" w:hAnsi="Arial Narrow" w:cs="Times New Roman"/>
                <w:sz w:val="18"/>
                <w:szCs w:val="18"/>
                <w:lang w:eastAsia="es-MX"/>
              </w:rPr>
            </w:pPr>
            <w:r w:rsidRPr="00D90AA3">
              <w:rPr>
                <w:rFonts w:ascii="Arial Narrow" w:eastAsia="Times New Roman" w:hAnsi="Arial Narrow" w:cs="Times New Roman"/>
                <w:sz w:val="18"/>
                <w:szCs w:val="18"/>
                <w:lang w:val="es-AR" w:eastAsia="es-MX"/>
              </w:rPr>
              <w:t>NORTE</w:t>
            </w:r>
          </w:p>
        </w:tc>
        <w:tc>
          <w:tcPr>
            <w:tcW w:w="1040" w:type="dxa"/>
            <w:tcBorders>
              <w:top w:val="nil"/>
              <w:left w:val="nil"/>
              <w:bottom w:val="single" w:sz="8" w:space="0" w:color="FFFFFF"/>
              <w:right w:val="single" w:sz="8" w:space="0" w:color="auto"/>
            </w:tcBorders>
            <w:shd w:val="clear" w:color="auto" w:fill="auto"/>
            <w:vAlign w:val="center"/>
            <w:hideMark/>
          </w:tcPr>
          <w:p w:rsidR="00AF7E8C" w:rsidRPr="00AF7E8C" w:rsidRDefault="00AF7E8C" w:rsidP="00AF7E8C">
            <w:pPr>
              <w:spacing w:after="0" w:line="240" w:lineRule="auto"/>
              <w:jc w:val="center"/>
              <w:rPr>
                <w:rFonts w:ascii="Arial Narrow" w:eastAsia="Times New Roman" w:hAnsi="Arial Narrow" w:cs="Times New Roman"/>
                <w:sz w:val="18"/>
                <w:szCs w:val="18"/>
                <w:lang w:eastAsia="es-MX"/>
              </w:rPr>
            </w:pPr>
            <w:r w:rsidRPr="00AF7E8C">
              <w:rPr>
                <w:rFonts w:ascii="Arial Narrow" w:eastAsia="Times New Roman" w:hAnsi="Arial Narrow" w:cs="Times New Roman"/>
                <w:sz w:val="18"/>
                <w:szCs w:val="20"/>
                <w:lang w:eastAsia="es-MX"/>
              </w:rPr>
              <w:t>2,944.11</w:t>
            </w:r>
          </w:p>
        </w:tc>
      </w:tr>
      <w:tr w:rsidR="00AF7E8C" w:rsidRPr="00D90AA3" w:rsidTr="00C71743">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AF7E8C" w:rsidRPr="00D90AA3" w:rsidRDefault="00AF7E8C" w:rsidP="00AF7E8C">
            <w:pPr>
              <w:spacing w:after="0" w:line="240" w:lineRule="auto"/>
              <w:jc w:val="both"/>
              <w:rPr>
                <w:rFonts w:ascii="Arial Narrow" w:eastAsia="Times New Roman" w:hAnsi="Arial Narrow" w:cs="Times New Roman"/>
                <w:sz w:val="18"/>
                <w:szCs w:val="18"/>
                <w:lang w:eastAsia="es-MX"/>
              </w:rPr>
            </w:pPr>
            <w:r w:rsidRPr="00D90AA3">
              <w:rPr>
                <w:rFonts w:ascii="Arial Narrow" w:eastAsia="Times New Roman" w:hAnsi="Arial Narrow" w:cs="Times New Roman"/>
                <w:sz w:val="18"/>
                <w:szCs w:val="18"/>
                <w:lang w:val="es-AR" w:eastAsia="es-MX"/>
              </w:rPr>
              <w:t>SURESTE</w:t>
            </w:r>
          </w:p>
        </w:tc>
        <w:tc>
          <w:tcPr>
            <w:tcW w:w="1040" w:type="dxa"/>
            <w:tcBorders>
              <w:top w:val="nil"/>
              <w:left w:val="nil"/>
              <w:bottom w:val="single" w:sz="8" w:space="0" w:color="FFFFFF"/>
              <w:right w:val="single" w:sz="8" w:space="0" w:color="auto"/>
            </w:tcBorders>
            <w:shd w:val="clear" w:color="auto" w:fill="auto"/>
            <w:vAlign w:val="center"/>
            <w:hideMark/>
          </w:tcPr>
          <w:p w:rsidR="00AF7E8C" w:rsidRPr="00AF7E8C" w:rsidRDefault="00AF7E8C" w:rsidP="00AF7E8C">
            <w:pPr>
              <w:spacing w:after="0" w:line="240" w:lineRule="auto"/>
              <w:jc w:val="center"/>
              <w:rPr>
                <w:rFonts w:ascii="Arial Narrow" w:eastAsia="Times New Roman" w:hAnsi="Arial Narrow" w:cs="Times New Roman"/>
                <w:sz w:val="18"/>
                <w:szCs w:val="18"/>
                <w:lang w:eastAsia="es-MX"/>
              </w:rPr>
            </w:pPr>
            <w:r w:rsidRPr="00AF7E8C">
              <w:rPr>
                <w:rFonts w:ascii="Arial Narrow" w:eastAsia="Times New Roman" w:hAnsi="Arial Narrow" w:cs="Times New Roman"/>
                <w:sz w:val="18"/>
                <w:szCs w:val="20"/>
                <w:lang w:eastAsia="es-MX"/>
              </w:rPr>
              <w:t>2,712.76</w:t>
            </w:r>
          </w:p>
        </w:tc>
      </w:tr>
      <w:tr w:rsidR="00AF7E8C" w:rsidRPr="00D90AA3" w:rsidTr="00C71743">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AF7E8C" w:rsidRPr="00D90AA3" w:rsidRDefault="00AF7E8C" w:rsidP="00AF7E8C">
            <w:pPr>
              <w:spacing w:after="0" w:line="240" w:lineRule="auto"/>
              <w:jc w:val="both"/>
              <w:rPr>
                <w:rFonts w:ascii="Arial Narrow" w:eastAsia="Times New Roman" w:hAnsi="Arial Narrow" w:cs="Times New Roman"/>
                <w:sz w:val="18"/>
                <w:szCs w:val="18"/>
                <w:lang w:eastAsia="es-MX"/>
              </w:rPr>
            </w:pPr>
            <w:r w:rsidRPr="00D90AA3">
              <w:rPr>
                <w:rFonts w:ascii="Arial Narrow" w:eastAsia="Times New Roman" w:hAnsi="Arial Narrow" w:cs="Times New Roman"/>
                <w:sz w:val="18"/>
                <w:szCs w:val="18"/>
                <w:lang w:val="es-AR" w:eastAsia="es-MX"/>
              </w:rPr>
              <w:t>PENINSULAR</w:t>
            </w:r>
          </w:p>
        </w:tc>
        <w:tc>
          <w:tcPr>
            <w:tcW w:w="1040" w:type="dxa"/>
            <w:tcBorders>
              <w:top w:val="nil"/>
              <w:left w:val="nil"/>
              <w:bottom w:val="single" w:sz="8" w:space="0" w:color="FFFFFF"/>
              <w:right w:val="single" w:sz="8" w:space="0" w:color="auto"/>
            </w:tcBorders>
            <w:shd w:val="clear" w:color="auto" w:fill="auto"/>
            <w:vAlign w:val="center"/>
            <w:hideMark/>
          </w:tcPr>
          <w:p w:rsidR="00AF7E8C" w:rsidRPr="00AF7E8C" w:rsidRDefault="00AF7E8C" w:rsidP="00AF7E8C">
            <w:pPr>
              <w:spacing w:after="0" w:line="240" w:lineRule="auto"/>
              <w:jc w:val="center"/>
              <w:rPr>
                <w:rFonts w:ascii="Arial Narrow" w:eastAsia="Times New Roman" w:hAnsi="Arial Narrow" w:cs="Times New Roman"/>
                <w:sz w:val="18"/>
                <w:szCs w:val="18"/>
                <w:lang w:eastAsia="es-MX"/>
              </w:rPr>
            </w:pPr>
            <w:r w:rsidRPr="00AF7E8C">
              <w:rPr>
                <w:rFonts w:ascii="Arial Narrow" w:eastAsia="Times New Roman" w:hAnsi="Arial Narrow" w:cs="Times New Roman"/>
                <w:sz w:val="18"/>
                <w:szCs w:val="20"/>
                <w:lang w:eastAsia="es-MX"/>
              </w:rPr>
              <w:t>1,499.35</w:t>
            </w:r>
          </w:p>
        </w:tc>
      </w:tr>
      <w:tr w:rsidR="00AF7E8C" w:rsidRPr="00D90AA3" w:rsidTr="00C71743">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AF7E8C" w:rsidRPr="00D90AA3" w:rsidRDefault="00AF7E8C" w:rsidP="00AF7E8C">
            <w:pPr>
              <w:spacing w:after="0" w:line="240" w:lineRule="auto"/>
              <w:jc w:val="both"/>
              <w:rPr>
                <w:rFonts w:ascii="Arial Narrow" w:eastAsia="Times New Roman" w:hAnsi="Arial Narrow" w:cs="Times New Roman"/>
                <w:sz w:val="18"/>
                <w:szCs w:val="18"/>
                <w:lang w:eastAsia="es-MX"/>
              </w:rPr>
            </w:pPr>
            <w:r w:rsidRPr="00D90AA3">
              <w:rPr>
                <w:rFonts w:ascii="Arial Narrow" w:eastAsia="Times New Roman" w:hAnsi="Arial Narrow" w:cs="Times New Roman"/>
                <w:sz w:val="18"/>
                <w:szCs w:val="18"/>
                <w:lang w:val="es-AR" w:eastAsia="es-MX"/>
              </w:rPr>
              <w:t>ORIENTE</w:t>
            </w:r>
          </w:p>
        </w:tc>
        <w:tc>
          <w:tcPr>
            <w:tcW w:w="1040" w:type="dxa"/>
            <w:tcBorders>
              <w:top w:val="nil"/>
              <w:left w:val="nil"/>
              <w:bottom w:val="single" w:sz="8" w:space="0" w:color="FFFFFF"/>
              <w:right w:val="single" w:sz="8" w:space="0" w:color="auto"/>
            </w:tcBorders>
            <w:shd w:val="clear" w:color="auto" w:fill="auto"/>
            <w:vAlign w:val="center"/>
            <w:hideMark/>
          </w:tcPr>
          <w:p w:rsidR="00AF7E8C" w:rsidRPr="00AF7E8C" w:rsidRDefault="00AF7E8C" w:rsidP="00AF7E8C">
            <w:pPr>
              <w:spacing w:after="0" w:line="240" w:lineRule="auto"/>
              <w:jc w:val="center"/>
              <w:rPr>
                <w:rFonts w:ascii="Arial Narrow" w:eastAsia="Times New Roman" w:hAnsi="Arial Narrow" w:cs="Times New Roman"/>
                <w:sz w:val="18"/>
                <w:szCs w:val="18"/>
                <w:lang w:eastAsia="es-MX"/>
              </w:rPr>
            </w:pPr>
            <w:r w:rsidRPr="00AF7E8C">
              <w:rPr>
                <w:rFonts w:ascii="Arial Narrow" w:eastAsia="Times New Roman" w:hAnsi="Arial Narrow" w:cs="Times New Roman"/>
                <w:sz w:val="18"/>
                <w:szCs w:val="20"/>
                <w:lang w:eastAsia="es-MX"/>
              </w:rPr>
              <w:t>2,802.92</w:t>
            </w:r>
          </w:p>
        </w:tc>
      </w:tr>
      <w:tr w:rsidR="00AF7E8C" w:rsidRPr="00D90AA3" w:rsidTr="00C71743">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AF7E8C" w:rsidRPr="00D90AA3" w:rsidRDefault="00AF7E8C" w:rsidP="00AF7E8C">
            <w:pPr>
              <w:spacing w:after="0" w:line="240" w:lineRule="auto"/>
              <w:jc w:val="both"/>
              <w:rPr>
                <w:rFonts w:ascii="Arial Narrow" w:eastAsia="Times New Roman" w:hAnsi="Arial Narrow" w:cs="Times New Roman"/>
                <w:sz w:val="18"/>
                <w:szCs w:val="18"/>
                <w:lang w:eastAsia="es-MX"/>
              </w:rPr>
            </w:pPr>
            <w:r w:rsidRPr="00D90AA3">
              <w:rPr>
                <w:rFonts w:ascii="Arial Narrow" w:eastAsia="Times New Roman" w:hAnsi="Arial Narrow" w:cs="Times New Roman"/>
                <w:sz w:val="18"/>
                <w:szCs w:val="18"/>
                <w:lang w:val="es-AR" w:eastAsia="es-MX"/>
              </w:rPr>
              <w:t>GOLFO CENTRO</w:t>
            </w:r>
          </w:p>
        </w:tc>
        <w:tc>
          <w:tcPr>
            <w:tcW w:w="1040" w:type="dxa"/>
            <w:tcBorders>
              <w:top w:val="nil"/>
              <w:left w:val="nil"/>
              <w:bottom w:val="single" w:sz="8" w:space="0" w:color="FFFFFF"/>
              <w:right w:val="single" w:sz="8" w:space="0" w:color="auto"/>
            </w:tcBorders>
            <w:shd w:val="clear" w:color="auto" w:fill="auto"/>
            <w:vAlign w:val="center"/>
            <w:hideMark/>
          </w:tcPr>
          <w:p w:rsidR="00AF7E8C" w:rsidRPr="00AF7E8C" w:rsidRDefault="00AF7E8C" w:rsidP="00AF7E8C">
            <w:pPr>
              <w:spacing w:after="0" w:line="240" w:lineRule="auto"/>
              <w:jc w:val="center"/>
              <w:rPr>
                <w:rFonts w:ascii="Arial Narrow" w:eastAsia="Times New Roman" w:hAnsi="Arial Narrow" w:cs="Times New Roman"/>
                <w:sz w:val="18"/>
                <w:szCs w:val="18"/>
                <w:lang w:eastAsia="es-MX"/>
              </w:rPr>
            </w:pPr>
            <w:r w:rsidRPr="00AF7E8C">
              <w:rPr>
                <w:rFonts w:ascii="Arial Narrow" w:eastAsia="Times New Roman" w:hAnsi="Arial Narrow" w:cs="Times New Roman"/>
                <w:sz w:val="18"/>
                <w:szCs w:val="20"/>
                <w:lang w:eastAsia="es-MX"/>
              </w:rPr>
              <w:t>982.58</w:t>
            </w:r>
          </w:p>
        </w:tc>
      </w:tr>
      <w:tr w:rsidR="00AF7E8C" w:rsidRPr="00D90AA3" w:rsidTr="00C71743">
        <w:trPr>
          <w:trHeight w:val="20"/>
          <w:jc w:val="center"/>
        </w:trPr>
        <w:tc>
          <w:tcPr>
            <w:tcW w:w="0" w:type="auto"/>
            <w:tcBorders>
              <w:top w:val="nil"/>
              <w:left w:val="single" w:sz="8" w:space="0" w:color="auto"/>
              <w:bottom w:val="nil"/>
              <w:right w:val="single" w:sz="8" w:space="0" w:color="auto"/>
            </w:tcBorders>
            <w:shd w:val="clear" w:color="auto" w:fill="auto"/>
            <w:vAlign w:val="center"/>
            <w:hideMark/>
          </w:tcPr>
          <w:p w:rsidR="00AF7E8C" w:rsidRPr="00D90AA3" w:rsidRDefault="00AF7E8C" w:rsidP="00AF7E8C">
            <w:pPr>
              <w:spacing w:after="0" w:line="240" w:lineRule="auto"/>
              <w:jc w:val="both"/>
              <w:rPr>
                <w:rFonts w:ascii="Arial Narrow" w:eastAsia="Times New Roman" w:hAnsi="Arial Narrow" w:cs="Times New Roman"/>
                <w:sz w:val="18"/>
                <w:szCs w:val="18"/>
                <w:lang w:eastAsia="es-MX"/>
              </w:rPr>
            </w:pPr>
            <w:r w:rsidRPr="00D90AA3">
              <w:rPr>
                <w:rFonts w:ascii="Arial Narrow" w:eastAsia="Times New Roman" w:hAnsi="Arial Narrow" w:cs="Times New Roman"/>
                <w:sz w:val="18"/>
                <w:szCs w:val="18"/>
                <w:lang w:val="es-AR" w:eastAsia="es-MX"/>
              </w:rPr>
              <w:t>VALLE MEXICO NTE</w:t>
            </w:r>
          </w:p>
        </w:tc>
        <w:tc>
          <w:tcPr>
            <w:tcW w:w="1040" w:type="dxa"/>
            <w:tcBorders>
              <w:top w:val="nil"/>
              <w:left w:val="nil"/>
              <w:bottom w:val="nil"/>
              <w:right w:val="single" w:sz="8" w:space="0" w:color="auto"/>
            </w:tcBorders>
            <w:shd w:val="clear" w:color="auto" w:fill="auto"/>
            <w:vAlign w:val="center"/>
            <w:hideMark/>
          </w:tcPr>
          <w:p w:rsidR="00AF7E8C" w:rsidRPr="00AF7E8C" w:rsidRDefault="00AF7E8C" w:rsidP="00AF7E8C">
            <w:pPr>
              <w:spacing w:after="0" w:line="240" w:lineRule="auto"/>
              <w:jc w:val="center"/>
              <w:rPr>
                <w:rFonts w:ascii="Arial Narrow" w:eastAsia="Times New Roman" w:hAnsi="Arial Narrow" w:cs="Times New Roman"/>
                <w:sz w:val="18"/>
                <w:szCs w:val="18"/>
                <w:lang w:eastAsia="es-MX"/>
              </w:rPr>
            </w:pPr>
            <w:r w:rsidRPr="00AF7E8C">
              <w:rPr>
                <w:rFonts w:ascii="Arial Narrow" w:eastAsia="Times New Roman" w:hAnsi="Arial Narrow" w:cs="Times New Roman"/>
                <w:sz w:val="18"/>
                <w:szCs w:val="20"/>
                <w:lang w:eastAsia="es-MX"/>
              </w:rPr>
              <w:t>986.73</w:t>
            </w:r>
          </w:p>
        </w:tc>
      </w:tr>
      <w:tr w:rsidR="00AF7E8C" w:rsidRPr="00D90AA3" w:rsidTr="00C71743">
        <w:trPr>
          <w:trHeight w:val="20"/>
          <w:jc w:val="center"/>
        </w:trPr>
        <w:tc>
          <w:tcPr>
            <w:tcW w:w="0" w:type="auto"/>
            <w:tcBorders>
              <w:top w:val="nil"/>
              <w:left w:val="single" w:sz="8" w:space="0" w:color="auto"/>
              <w:bottom w:val="nil"/>
              <w:right w:val="single" w:sz="8" w:space="0" w:color="auto"/>
            </w:tcBorders>
            <w:shd w:val="clear" w:color="auto" w:fill="auto"/>
            <w:vAlign w:val="center"/>
            <w:hideMark/>
          </w:tcPr>
          <w:p w:rsidR="00AF7E8C" w:rsidRPr="00D90AA3" w:rsidRDefault="00AF7E8C" w:rsidP="00AF7E8C">
            <w:pPr>
              <w:spacing w:after="0" w:line="240" w:lineRule="auto"/>
              <w:jc w:val="both"/>
              <w:rPr>
                <w:rFonts w:ascii="Arial Narrow" w:eastAsia="Times New Roman" w:hAnsi="Arial Narrow" w:cs="Times New Roman"/>
                <w:sz w:val="18"/>
                <w:szCs w:val="18"/>
                <w:lang w:eastAsia="es-MX"/>
              </w:rPr>
            </w:pPr>
            <w:r w:rsidRPr="00D90AA3">
              <w:rPr>
                <w:rFonts w:ascii="Arial Narrow" w:eastAsia="Times New Roman" w:hAnsi="Arial Narrow" w:cs="Times New Roman"/>
                <w:sz w:val="18"/>
                <w:szCs w:val="18"/>
                <w:lang w:eastAsia="es-MX"/>
              </w:rPr>
              <w:t>VALLE MEXICO CENT</w:t>
            </w:r>
          </w:p>
        </w:tc>
        <w:tc>
          <w:tcPr>
            <w:tcW w:w="1040" w:type="dxa"/>
            <w:tcBorders>
              <w:top w:val="nil"/>
              <w:left w:val="nil"/>
              <w:bottom w:val="nil"/>
              <w:right w:val="single" w:sz="8" w:space="0" w:color="auto"/>
            </w:tcBorders>
            <w:shd w:val="clear" w:color="auto" w:fill="auto"/>
            <w:vAlign w:val="center"/>
            <w:hideMark/>
          </w:tcPr>
          <w:p w:rsidR="00AF7E8C" w:rsidRPr="00AF7E8C" w:rsidRDefault="00AF7E8C" w:rsidP="00AF7E8C">
            <w:pPr>
              <w:spacing w:after="0" w:line="240" w:lineRule="auto"/>
              <w:jc w:val="center"/>
              <w:rPr>
                <w:rFonts w:ascii="Arial Narrow" w:eastAsia="Times New Roman" w:hAnsi="Arial Narrow" w:cs="Times New Roman"/>
                <w:sz w:val="18"/>
                <w:szCs w:val="18"/>
                <w:lang w:eastAsia="es-MX"/>
              </w:rPr>
            </w:pPr>
            <w:r w:rsidRPr="00AF7E8C">
              <w:rPr>
                <w:rFonts w:ascii="Arial Narrow" w:eastAsia="Times New Roman" w:hAnsi="Arial Narrow" w:cs="Times New Roman"/>
                <w:sz w:val="18"/>
                <w:szCs w:val="20"/>
                <w:lang w:eastAsia="es-MX"/>
              </w:rPr>
              <w:t>925.61</w:t>
            </w:r>
          </w:p>
        </w:tc>
      </w:tr>
      <w:tr w:rsidR="00AF7E8C" w:rsidRPr="00D90AA3" w:rsidTr="00C71743">
        <w:trPr>
          <w:trHeight w:val="20"/>
          <w:jc w:val="center"/>
        </w:trPr>
        <w:tc>
          <w:tcPr>
            <w:tcW w:w="0" w:type="auto"/>
            <w:tcBorders>
              <w:top w:val="nil"/>
              <w:left w:val="single" w:sz="8" w:space="0" w:color="auto"/>
              <w:bottom w:val="single" w:sz="4" w:space="0" w:color="auto"/>
              <w:right w:val="single" w:sz="8" w:space="0" w:color="auto"/>
            </w:tcBorders>
            <w:shd w:val="clear" w:color="auto" w:fill="auto"/>
            <w:vAlign w:val="center"/>
            <w:hideMark/>
          </w:tcPr>
          <w:p w:rsidR="00AF7E8C" w:rsidRPr="00D90AA3" w:rsidRDefault="00AF7E8C" w:rsidP="00AF7E8C">
            <w:pPr>
              <w:spacing w:after="0" w:line="240" w:lineRule="auto"/>
              <w:jc w:val="both"/>
              <w:rPr>
                <w:rFonts w:ascii="Arial Narrow" w:eastAsia="Times New Roman" w:hAnsi="Arial Narrow" w:cs="Times New Roman"/>
                <w:sz w:val="18"/>
                <w:szCs w:val="18"/>
                <w:lang w:eastAsia="es-MX"/>
              </w:rPr>
            </w:pPr>
            <w:r w:rsidRPr="00D90AA3">
              <w:rPr>
                <w:rFonts w:ascii="Arial Narrow" w:eastAsia="Times New Roman" w:hAnsi="Arial Narrow" w:cs="Times New Roman"/>
                <w:sz w:val="18"/>
                <w:szCs w:val="18"/>
                <w:lang w:eastAsia="es-MX"/>
              </w:rPr>
              <w:t>VALLE MEXICO SUR</w:t>
            </w:r>
          </w:p>
        </w:tc>
        <w:tc>
          <w:tcPr>
            <w:tcW w:w="1040" w:type="dxa"/>
            <w:tcBorders>
              <w:top w:val="nil"/>
              <w:left w:val="nil"/>
              <w:bottom w:val="nil"/>
              <w:right w:val="single" w:sz="8" w:space="0" w:color="auto"/>
            </w:tcBorders>
            <w:shd w:val="clear" w:color="auto" w:fill="auto"/>
            <w:vAlign w:val="center"/>
            <w:hideMark/>
          </w:tcPr>
          <w:p w:rsidR="00AF7E8C" w:rsidRPr="00AF7E8C" w:rsidRDefault="00AF7E8C" w:rsidP="00AF7E8C">
            <w:pPr>
              <w:spacing w:after="0" w:line="240" w:lineRule="auto"/>
              <w:jc w:val="center"/>
              <w:rPr>
                <w:rFonts w:ascii="Arial Narrow" w:eastAsia="Times New Roman" w:hAnsi="Arial Narrow" w:cs="Times New Roman"/>
                <w:sz w:val="18"/>
                <w:szCs w:val="18"/>
                <w:lang w:eastAsia="es-MX"/>
              </w:rPr>
            </w:pPr>
            <w:r w:rsidRPr="00AF7E8C">
              <w:rPr>
                <w:rFonts w:ascii="Arial Narrow" w:eastAsia="Times New Roman" w:hAnsi="Arial Narrow" w:cs="Times New Roman"/>
                <w:sz w:val="18"/>
                <w:szCs w:val="20"/>
                <w:lang w:eastAsia="es-MX"/>
              </w:rPr>
              <w:t>1,171.63</w:t>
            </w:r>
          </w:p>
        </w:tc>
      </w:tr>
      <w:tr w:rsidR="00AF7E8C" w:rsidRPr="00D90AA3" w:rsidTr="00C71743">
        <w:trPr>
          <w:trHeight w:val="20"/>
          <w:jc w:val="center"/>
        </w:trPr>
        <w:tc>
          <w:tcPr>
            <w:tcW w:w="0" w:type="auto"/>
            <w:tcBorders>
              <w:top w:val="single" w:sz="4" w:space="0" w:color="auto"/>
              <w:left w:val="single" w:sz="4" w:space="0" w:color="auto"/>
              <w:bottom w:val="single" w:sz="4" w:space="0" w:color="auto"/>
              <w:right w:val="single" w:sz="8" w:space="0" w:color="auto"/>
            </w:tcBorders>
            <w:shd w:val="clear" w:color="auto" w:fill="auto"/>
            <w:vAlign w:val="center"/>
            <w:hideMark/>
          </w:tcPr>
          <w:p w:rsidR="00AF7E8C" w:rsidRPr="00D90AA3" w:rsidRDefault="00AF7E8C" w:rsidP="00C71743">
            <w:pPr>
              <w:spacing w:after="0" w:line="240" w:lineRule="auto"/>
              <w:jc w:val="both"/>
              <w:rPr>
                <w:rFonts w:ascii="Arial Narrow" w:eastAsia="Times New Roman" w:hAnsi="Arial Narrow" w:cs="Times New Roman"/>
                <w:b/>
                <w:bCs/>
                <w:color w:val="000000"/>
                <w:sz w:val="18"/>
                <w:szCs w:val="18"/>
                <w:lang w:eastAsia="es-MX"/>
              </w:rPr>
            </w:pPr>
            <w:r w:rsidRPr="00D90AA3">
              <w:rPr>
                <w:rFonts w:ascii="Arial Narrow" w:eastAsia="Times New Roman" w:hAnsi="Arial Narrow" w:cs="Times New Roman"/>
                <w:b/>
                <w:bCs/>
                <w:color w:val="000000"/>
                <w:sz w:val="18"/>
                <w:szCs w:val="18"/>
                <w:lang w:val="es-AR" w:eastAsia="es-MX"/>
              </w:rPr>
              <w:t>TOTAL</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AF7E8C" w:rsidRPr="00D90AA3" w:rsidRDefault="00AF7E8C" w:rsidP="00C71743">
            <w:pPr>
              <w:spacing w:after="0" w:line="240" w:lineRule="auto"/>
              <w:jc w:val="center"/>
              <w:rPr>
                <w:rFonts w:ascii="Arial Narrow" w:eastAsia="Times New Roman" w:hAnsi="Arial Narrow" w:cs="Times New Roman"/>
                <w:b/>
                <w:bCs/>
                <w:color w:val="000000"/>
                <w:sz w:val="18"/>
                <w:szCs w:val="18"/>
                <w:lang w:eastAsia="es-MX"/>
              </w:rPr>
            </w:pPr>
            <w:r w:rsidRPr="00DC2417">
              <w:rPr>
                <w:rFonts w:ascii="Arial Narrow" w:eastAsia="Times New Roman" w:hAnsi="Arial Narrow" w:cs="Times New Roman"/>
                <w:b/>
                <w:bCs/>
                <w:color w:val="000000"/>
                <w:sz w:val="20"/>
                <w:szCs w:val="20"/>
                <w:lang w:eastAsia="es-MX"/>
              </w:rPr>
              <w:t>32,544.50</w:t>
            </w:r>
          </w:p>
        </w:tc>
      </w:tr>
    </w:tbl>
    <w:p w:rsidR="00AF7E8C" w:rsidRDefault="00AF7E8C" w:rsidP="00814C47">
      <w:pPr>
        <w:spacing w:after="200" w:line="240" w:lineRule="auto"/>
        <w:contextualSpacing/>
        <w:jc w:val="both"/>
        <w:rPr>
          <w:rFonts w:ascii="Arial Narrow" w:eastAsiaTheme="minorEastAsia" w:hAnsi="Arial Narrow" w:cs="Helvetica"/>
          <w:color w:val="000000"/>
          <w:lang w:val="es-UY" w:eastAsia="es-MX"/>
        </w:rPr>
      </w:pPr>
    </w:p>
    <w:p w:rsidR="00A34C2E" w:rsidRDefault="00A34C2E" w:rsidP="00814C47">
      <w:pPr>
        <w:spacing w:after="200" w:line="240" w:lineRule="auto"/>
        <w:contextualSpacing/>
        <w:jc w:val="both"/>
        <w:rPr>
          <w:rFonts w:ascii="Arial Narrow" w:eastAsiaTheme="minorEastAsia" w:hAnsi="Arial Narrow" w:cs="Helvetica"/>
          <w:color w:val="000000"/>
          <w:lang w:val="es-UY" w:eastAsia="es-MX"/>
        </w:rPr>
      </w:pPr>
      <w:r w:rsidRPr="00A34C2E">
        <w:rPr>
          <w:rFonts w:ascii="Arial Narrow" w:eastAsiaTheme="minorEastAsia" w:hAnsi="Arial Narrow" w:cs="Helvetica"/>
          <w:color w:val="000000"/>
          <w:lang w:val="es-UY" w:eastAsia="es-MX"/>
        </w:rPr>
        <w:t>C</w:t>
      </w:r>
      <w:r w:rsidR="00AF79A3">
        <w:rPr>
          <w:rFonts w:ascii="Arial Narrow" w:eastAsiaTheme="minorEastAsia" w:hAnsi="Arial Narrow" w:cs="Helvetica"/>
          <w:color w:val="000000"/>
          <w:lang w:val="es-UY" w:eastAsia="es-MX"/>
        </w:rPr>
        <w:t>omo ya se mencionó</w:t>
      </w:r>
      <w:r w:rsidRPr="00A34C2E">
        <w:rPr>
          <w:rFonts w:ascii="Arial Narrow" w:eastAsiaTheme="minorEastAsia" w:hAnsi="Arial Narrow" w:cs="Helvetica"/>
          <w:color w:val="000000"/>
          <w:lang w:val="es-UY" w:eastAsia="es-MX"/>
        </w:rPr>
        <w:t>, el caso de las tres divisiones del Valle de México solo se tomó en cuenta la depreciación de los activos cedidos por (LyFC) y el capital de los activos adquiridos por la CFE después de l</w:t>
      </w:r>
      <w:r w:rsidR="00AF79A3">
        <w:rPr>
          <w:rFonts w:ascii="Arial Narrow" w:eastAsiaTheme="minorEastAsia" w:hAnsi="Arial Narrow" w:cs="Helvetica"/>
          <w:color w:val="000000"/>
          <w:lang w:val="es-UY" w:eastAsia="es-MX"/>
        </w:rPr>
        <w:t>a adquisición de dicha empresa.</w:t>
      </w:r>
    </w:p>
    <w:p w:rsidR="00AF2F0E" w:rsidRPr="00AF2F0E" w:rsidRDefault="00AF2F0E" w:rsidP="00AF2F0E">
      <w:pPr>
        <w:pStyle w:val="Prrafodelista"/>
        <w:keepNext/>
        <w:keepLines/>
        <w:numPr>
          <w:ilvl w:val="1"/>
          <w:numId w:val="15"/>
        </w:numPr>
        <w:spacing w:after="0" w:line="240" w:lineRule="auto"/>
        <w:ind w:hanging="644"/>
        <w:jc w:val="both"/>
        <w:outlineLvl w:val="0"/>
        <w:rPr>
          <w:rFonts w:ascii="Arial Narrow" w:eastAsiaTheme="majorEastAsia" w:hAnsi="Arial Narrow" w:cstheme="majorBidi"/>
          <w:b/>
          <w:bCs/>
          <w:color w:val="000000" w:themeColor="text1"/>
        </w:rPr>
      </w:pPr>
      <w:r w:rsidRPr="00AF2F0E">
        <w:rPr>
          <w:rFonts w:ascii="Arial Narrow" w:eastAsiaTheme="majorEastAsia" w:hAnsi="Arial Narrow" w:cstheme="majorBidi"/>
          <w:b/>
          <w:bCs/>
          <w:color w:val="000000" w:themeColor="text1"/>
        </w:rPr>
        <w:t>Ingreso Requerido Total</w:t>
      </w:r>
    </w:p>
    <w:p w:rsidR="00AF2F0E" w:rsidRDefault="00AF2F0E" w:rsidP="00814C47">
      <w:pPr>
        <w:spacing w:after="200" w:line="240" w:lineRule="auto"/>
        <w:contextualSpacing/>
        <w:jc w:val="both"/>
        <w:rPr>
          <w:rFonts w:ascii="Arial Narrow" w:eastAsiaTheme="minorEastAsia" w:hAnsi="Arial Narrow" w:cs="Helvetica"/>
          <w:color w:val="000000"/>
          <w:lang w:val="es-UY" w:eastAsia="es-MX"/>
        </w:rPr>
      </w:pPr>
    </w:p>
    <w:p w:rsidR="00CE5DB9" w:rsidRPr="00814C47" w:rsidRDefault="005B3958" w:rsidP="00814C47">
      <w:pPr>
        <w:spacing w:after="200" w:line="240" w:lineRule="auto"/>
        <w:contextualSpacing/>
        <w:jc w:val="both"/>
        <w:rPr>
          <w:rFonts w:ascii="Arial Narrow" w:eastAsiaTheme="minorEastAsia" w:hAnsi="Arial Narrow" w:cs="Helvetica"/>
          <w:color w:val="000000"/>
          <w:lang w:val="es-UY" w:eastAsia="es-MX"/>
        </w:rPr>
      </w:pPr>
      <w:r w:rsidRPr="00814C47">
        <w:rPr>
          <w:rFonts w:ascii="Arial Narrow" w:eastAsiaTheme="minorEastAsia" w:hAnsi="Arial Narrow" w:cs="Helvetica"/>
          <w:color w:val="000000"/>
          <w:lang w:val="es-UY" w:eastAsia="es-MX"/>
        </w:rPr>
        <w:t xml:space="preserve">Así, </w:t>
      </w:r>
      <w:r w:rsidR="00217F1A" w:rsidRPr="00814C47">
        <w:rPr>
          <w:rFonts w:ascii="Arial Narrow" w:eastAsiaTheme="minorEastAsia" w:hAnsi="Arial Narrow" w:cs="Helvetica"/>
          <w:color w:val="000000"/>
          <w:lang w:val="es-UY" w:eastAsia="es-MX"/>
        </w:rPr>
        <w:t>considerando el total de costos de explotación y el costo de los activos</w:t>
      </w:r>
      <w:r w:rsidR="00CE5DB9" w:rsidRPr="00814C47">
        <w:rPr>
          <w:rFonts w:ascii="Arial Narrow" w:eastAsiaTheme="minorEastAsia" w:hAnsi="Arial Narrow" w:cs="Helvetica"/>
          <w:color w:val="000000"/>
          <w:lang w:val="es-UY" w:eastAsia="es-MX"/>
        </w:rPr>
        <w:t xml:space="preserve"> el ingreso requerido total se expresa en la siguiente tabla.</w:t>
      </w:r>
    </w:p>
    <w:p w:rsidR="00CE5DB9" w:rsidRPr="00DC2417" w:rsidRDefault="00CE5DB9" w:rsidP="00920FD5">
      <w:pPr>
        <w:pStyle w:val="Descripcin"/>
        <w:spacing w:after="120"/>
        <w:jc w:val="center"/>
        <w:rPr>
          <w:sz w:val="20"/>
          <w:szCs w:val="20"/>
        </w:rPr>
      </w:pPr>
      <w:r w:rsidRPr="00DC2417">
        <w:rPr>
          <w:sz w:val="20"/>
          <w:szCs w:val="20"/>
        </w:rPr>
        <w:t xml:space="preserve">Tabla </w:t>
      </w:r>
      <w:r w:rsidRPr="00DC2417">
        <w:rPr>
          <w:sz w:val="20"/>
          <w:szCs w:val="20"/>
        </w:rPr>
        <w:fldChar w:fldCharType="begin"/>
      </w:r>
      <w:r w:rsidRPr="00DC2417">
        <w:rPr>
          <w:sz w:val="20"/>
          <w:szCs w:val="20"/>
        </w:rPr>
        <w:instrText xml:space="preserve"> SEQ Tabla \* ARABIC </w:instrText>
      </w:r>
      <w:r w:rsidRPr="00DC2417">
        <w:rPr>
          <w:sz w:val="20"/>
          <w:szCs w:val="20"/>
        </w:rPr>
        <w:fldChar w:fldCharType="separate"/>
      </w:r>
      <w:r w:rsidR="00E61BAB">
        <w:rPr>
          <w:noProof/>
          <w:sz w:val="20"/>
          <w:szCs w:val="20"/>
        </w:rPr>
        <w:t>5</w:t>
      </w:r>
      <w:r w:rsidRPr="00DC2417">
        <w:rPr>
          <w:sz w:val="20"/>
          <w:szCs w:val="20"/>
        </w:rPr>
        <w:fldChar w:fldCharType="end"/>
      </w:r>
      <w:r w:rsidRPr="00DC2417">
        <w:rPr>
          <w:sz w:val="20"/>
          <w:szCs w:val="20"/>
        </w:rPr>
        <w:t xml:space="preserve">. </w:t>
      </w:r>
      <w:r w:rsidR="009465C0">
        <w:rPr>
          <w:sz w:val="20"/>
          <w:szCs w:val="20"/>
        </w:rPr>
        <w:t>Ingreso Requerido</w:t>
      </w:r>
      <w:r w:rsidR="00BF7491">
        <w:rPr>
          <w:sz w:val="20"/>
          <w:szCs w:val="20"/>
        </w:rPr>
        <w:t xml:space="preserve"> base 2014</w:t>
      </w:r>
    </w:p>
    <w:tbl>
      <w:tblPr>
        <w:tblW w:w="0" w:type="auto"/>
        <w:jc w:val="center"/>
        <w:tblCellMar>
          <w:left w:w="70" w:type="dxa"/>
          <w:right w:w="70" w:type="dxa"/>
        </w:tblCellMar>
        <w:tblLook w:val="04A0" w:firstRow="1" w:lastRow="0" w:firstColumn="1" w:lastColumn="0" w:noHBand="0" w:noVBand="1"/>
      </w:tblPr>
      <w:tblGrid>
        <w:gridCol w:w="1519"/>
        <w:gridCol w:w="592"/>
      </w:tblGrid>
      <w:tr w:rsidR="005B3958" w:rsidRPr="00DC2417" w:rsidTr="00920FD5">
        <w:trPr>
          <w:trHeight w:val="525"/>
          <w:jc w:val="center"/>
        </w:trPr>
        <w:tc>
          <w:tcPr>
            <w:tcW w:w="0" w:type="auto"/>
            <w:tcBorders>
              <w:top w:val="single" w:sz="4" w:space="0" w:color="auto"/>
              <w:left w:val="single" w:sz="4" w:space="0" w:color="auto"/>
              <w:bottom w:val="single" w:sz="8" w:space="0" w:color="auto"/>
              <w:right w:val="nil"/>
            </w:tcBorders>
            <w:shd w:val="clear" w:color="auto" w:fill="365F91" w:themeFill="accent1" w:themeFillShade="BF"/>
            <w:vAlign w:val="center"/>
            <w:hideMark/>
          </w:tcPr>
          <w:p w:rsidR="005B3958" w:rsidRDefault="005B3958" w:rsidP="0091103D">
            <w:pPr>
              <w:spacing w:after="0" w:line="240" w:lineRule="auto"/>
              <w:jc w:val="center"/>
              <w:rPr>
                <w:rFonts w:ascii="Arial Narrow" w:eastAsia="Times New Roman" w:hAnsi="Arial Narrow" w:cs="Times New Roman"/>
                <w:b/>
                <w:bCs/>
                <w:color w:val="FFFFFF"/>
                <w:sz w:val="18"/>
                <w:szCs w:val="20"/>
                <w:lang w:eastAsia="es-MX"/>
              </w:rPr>
            </w:pPr>
            <w:r w:rsidRPr="00920FD5">
              <w:rPr>
                <w:rFonts w:ascii="Arial Narrow" w:eastAsia="Times New Roman" w:hAnsi="Arial Narrow" w:cs="Times New Roman"/>
                <w:b/>
                <w:bCs/>
                <w:color w:val="FFFFFF"/>
                <w:sz w:val="18"/>
                <w:szCs w:val="20"/>
                <w:lang w:eastAsia="es-MX"/>
              </w:rPr>
              <w:t>Concepto</w:t>
            </w:r>
          </w:p>
          <w:p w:rsidR="00920FD5" w:rsidRPr="00920FD5" w:rsidRDefault="00920FD5" w:rsidP="0091103D">
            <w:pPr>
              <w:spacing w:after="0" w:line="240" w:lineRule="auto"/>
              <w:jc w:val="center"/>
              <w:rPr>
                <w:rFonts w:ascii="Arial Narrow" w:eastAsia="Times New Roman" w:hAnsi="Arial Narrow" w:cs="Times New Roman"/>
                <w:b/>
                <w:bCs/>
                <w:i/>
                <w:color w:val="FFFFFF"/>
                <w:sz w:val="18"/>
                <w:szCs w:val="20"/>
                <w:lang w:eastAsia="es-MX"/>
              </w:rPr>
            </w:pPr>
            <w:r w:rsidRPr="00920FD5">
              <w:rPr>
                <w:rFonts w:ascii="Arial Narrow" w:eastAsia="Times New Roman" w:hAnsi="Arial Narrow" w:cs="Times New Roman"/>
                <w:b/>
                <w:bCs/>
                <w:i/>
                <w:color w:val="FFFFFF"/>
                <w:sz w:val="14"/>
                <w:szCs w:val="20"/>
                <w:lang w:eastAsia="es-MX"/>
              </w:rPr>
              <w:t>(millones de pesos)</w:t>
            </w:r>
          </w:p>
        </w:tc>
        <w:tc>
          <w:tcPr>
            <w:tcW w:w="0" w:type="auto"/>
            <w:tcBorders>
              <w:top w:val="single" w:sz="4" w:space="0" w:color="auto"/>
              <w:left w:val="nil"/>
              <w:bottom w:val="single" w:sz="8" w:space="0" w:color="auto"/>
              <w:right w:val="single" w:sz="4" w:space="0" w:color="auto"/>
            </w:tcBorders>
            <w:shd w:val="clear" w:color="auto" w:fill="365F91" w:themeFill="accent1" w:themeFillShade="BF"/>
            <w:vAlign w:val="center"/>
            <w:hideMark/>
          </w:tcPr>
          <w:p w:rsidR="005B3958" w:rsidRPr="00920FD5" w:rsidRDefault="00920FD5" w:rsidP="0091103D">
            <w:pPr>
              <w:spacing w:after="0" w:line="240" w:lineRule="auto"/>
              <w:jc w:val="center"/>
              <w:rPr>
                <w:rFonts w:ascii="Arial Narrow" w:eastAsia="Times New Roman" w:hAnsi="Arial Narrow" w:cs="Times New Roman"/>
                <w:b/>
                <w:bCs/>
                <w:color w:val="FFFFFF"/>
                <w:sz w:val="18"/>
                <w:szCs w:val="20"/>
                <w:lang w:eastAsia="es-MX"/>
              </w:rPr>
            </w:pPr>
            <w:r>
              <w:rPr>
                <w:rFonts w:ascii="Arial Narrow" w:eastAsia="Times New Roman" w:hAnsi="Arial Narrow" w:cs="Times New Roman"/>
                <w:b/>
                <w:bCs/>
                <w:color w:val="FFFFFF"/>
                <w:sz w:val="18"/>
                <w:szCs w:val="20"/>
                <w:lang w:eastAsia="es-MX"/>
              </w:rPr>
              <w:t>Monto</w:t>
            </w:r>
          </w:p>
        </w:tc>
      </w:tr>
      <w:tr w:rsidR="005B3958" w:rsidRPr="00DC2417" w:rsidTr="00920FD5">
        <w:trPr>
          <w:trHeight w:val="315"/>
          <w:jc w:val="center"/>
        </w:trPr>
        <w:tc>
          <w:tcPr>
            <w:tcW w:w="0" w:type="auto"/>
            <w:tcBorders>
              <w:top w:val="nil"/>
              <w:left w:val="single" w:sz="4" w:space="0" w:color="auto"/>
              <w:bottom w:val="nil"/>
              <w:right w:val="nil"/>
            </w:tcBorders>
            <w:shd w:val="clear" w:color="auto" w:fill="auto"/>
            <w:vAlign w:val="center"/>
            <w:hideMark/>
          </w:tcPr>
          <w:p w:rsidR="005B3958" w:rsidRPr="00920FD5" w:rsidRDefault="005B3958" w:rsidP="0091103D">
            <w:pPr>
              <w:spacing w:after="0" w:line="240" w:lineRule="auto"/>
              <w:jc w:val="center"/>
              <w:rPr>
                <w:rFonts w:ascii="Arial Narrow" w:eastAsia="Times New Roman" w:hAnsi="Arial Narrow" w:cs="Times New Roman"/>
                <w:color w:val="000000"/>
                <w:sz w:val="18"/>
                <w:szCs w:val="20"/>
                <w:lang w:eastAsia="es-MX"/>
              </w:rPr>
            </w:pPr>
            <w:r w:rsidRPr="00920FD5">
              <w:rPr>
                <w:rFonts w:ascii="Arial Narrow" w:eastAsia="Times New Roman" w:hAnsi="Arial Narrow" w:cs="Times New Roman"/>
                <w:color w:val="000000"/>
                <w:sz w:val="18"/>
                <w:szCs w:val="20"/>
                <w:lang w:eastAsia="es-MX"/>
              </w:rPr>
              <w:t>Costo de explotación</w:t>
            </w:r>
          </w:p>
        </w:tc>
        <w:tc>
          <w:tcPr>
            <w:tcW w:w="0" w:type="auto"/>
            <w:tcBorders>
              <w:top w:val="nil"/>
              <w:left w:val="single" w:sz="8" w:space="0" w:color="FFFFFF"/>
              <w:bottom w:val="single" w:sz="8" w:space="0" w:color="FFFFFF"/>
              <w:right w:val="single" w:sz="4" w:space="0" w:color="auto"/>
            </w:tcBorders>
            <w:shd w:val="clear" w:color="auto" w:fill="auto"/>
            <w:vAlign w:val="center"/>
            <w:hideMark/>
          </w:tcPr>
          <w:p w:rsidR="005B3958" w:rsidRPr="00920FD5" w:rsidRDefault="005B3958" w:rsidP="0091103D">
            <w:pPr>
              <w:spacing w:after="0" w:line="240" w:lineRule="auto"/>
              <w:jc w:val="center"/>
              <w:rPr>
                <w:rFonts w:ascii="Arial Narrow" w:eastAsia="Times New Roman" w:hAnsi="Arial Narrow" w:cs="Times New Roman"/>
                <w:color w:val="000000"/>
                <w:sz w:val="18"/>
                <w:szCs w:val="20"/>
                <w:lang w:eastAsia="es-MX"/>
              </w:rPr>
            </w:pPr>
            <w:r w:rsidRPr="00920FD5">
              <w:rPr>
                <w:rFonts w:ascii="Arial Narrow" w:eastAsia="Times New Roman" w:hAnsi="Arial Narrow" w:cs="Times New Roman"/>
                <w:color w:val="000000"/>
                <w:sz w:val="18"/>
                <w:szCs w:val="20"/>
                <w:lang w:eastAsia="es-MX"/>
              </w:rPr>
              <w:t>57,555</w:t>
            </w:r>
          </w:p>
        </w:tc>
      </w:tr>
      <w:tr w:rsidR="005B3958" w:rsidRPr="00DC2417" w:rsidTr="00920FD5">
        <w:trPr>
          <w:trHeight w:val="315"/>
          <w:jc w:val="center"/>
        </w:trPr>
        <w:tc>
          <w:tcPr>
            <w:tcW w:w="0" w:type="auto"/>
            <w:tcBorders>
              <w:top w:val="nil"/>
              <w:left w:val="single" w:sz="4" w:space="0" w:color="auto"/>
              <w:right w:val="nil"/>
            </w:tcBorders>
            <w:shd w:val="clear" w:color="auto" w:fill="auto"/>
            <w:vAlign w:val="center"/>
            <w:hideMark/>
          </w:tcPr>
          <w:p w:rsidR="005B3958" w:rsidRPr="00920FD5" w:rsidRDefault="005B3958" w:rsidP="0091103D">
            <w:pPr>
              <w:spacing w:after="0" w:line="240" w:lineRule="auto"/>
              <w:jc w:val="center"/>
              <w:rPr>
                <w:rFonts w:ascii="Arial Narrow" w:eastAsia="Times New Roman" w:hAnsi="Arial Narrow" w:cs="Times New Roman"/>
                <w:color w:val="000000"/>
                <w:sz w:val="18"/>
                <w:szCs w:val="20"/>
                <w:lang w:eastAsia="es-MX"/>
              </w:rPr>
            </w:pPr>
            <w:r w:rsidRPr="00920FD5">
              <w:rPr>
                <w:rFonts w:ascii="Arial Narrow" w:eastAsia="Times New Roman" w:hAnsi="Arial Narrow" w:cs="Times New Roman"/>
                <w:color w:val="000000"/>
                <w:sz w:val="18"/>
                <w:szCs w:val="20"/>
                <w:lang w:eastAsia="es-MX"/>
              </w:rPr>
              <w:t>Costo de capital</w:t>
            </w:r>
          </w:p>
        </w:tc>
        <w:tc>
          <w:tcPr>
            <w:tcW w:w="0" w:type="auto"/>
            <w:tcBorders>
              <w:top w:val="nil"/>
              <w:left w:val="single" w:sz="8" w:space="0" w:color="FFFFFF"/>
              <w:right w:val="single" w:sz="4" w:space="0" w:color="auto"/>
            </w:tcBorders>
            <w:shd w:val="clear" w:color="auto" w:fill="auto"/>
            <w:vAlign w:val="center"/>
            <w:hideMark/>
          </w:tcPr>
          <w:p w:rsidR="005B3958" w:rsidRPr="00920FD5" w:rsidRDefault="005B3958" w:rsidP="0091103D">
            <w:pPr>
              <w:spacing w:after="0" w:line="240" w:lineRule="auto"/>
              <w:jc w:val="center"/>
              <w:rPr>
                <w:rFonts w:ascii="Arial Narrow" w:eastAsia="Times New Roman" w:hAnsi="Arial Narrow" w:cs="Times New Roman"/>
                <w:color w:val="000000"/>
                <w:sz w:val="18"/>
                <w:szCs w:val="20"/>
                <w:lang w:eastAsia="es-MX"/>
              </w:rPr>
            </w:pPr>
            <w:r w:rsidRPr="00920FD5">
              <w:rPr>
                <w:rFonts w:ascii="Arial Narrow" w:eastAsia="Times New Roman" w:hAnsi="Arial Narrow" w:cs="Times New Roman"/>
                <w:color w:val="000000"/>
                <w:sz w:val="18"/>
                <w:szCs w:val="20"/>
                <w:lang w:eastAsia="es-MX"/>
              </w:rPr>
              <w:t>32,54</w:t>
            </w:r>
            <w:r w:rsidR="00260865">
              <w:rPr>
                <w:rFonts w:ascii="Arial Narrow" w:eastAsia="Times New Roman" w:hAnsi="Arial Narrow" w:cs="Times New Roman"/>
                <w:color w:val="000000"/>
                <w:sz w:val="18"/>
                <w:szCs w:val="20"/>
                <w:lang w:eastAsia="es-MX"/>
              </w:rPr>
              <w:t>4</w:t>
            </w:r>
          </w:p>
        </w:tc>
      </w:tr>
      <w:tr w:rsidR="005B3958" w:rsidRPr="00DC2417" w:rsidTr="00920FD5">
        <w:trPr>
          <w:trHeight w:val="315"/>
          <w:jc w:val="center"/>
        </w:trPr>
        <w:tc>
          <w:tcPr>
            <w:tcW w:w="0" w:type="auto"/>
            <w:tcBorders>
              <w:left w:val="single" w:sz="4" w:space="0" w:color="auto"/>
              <w:bottom w:val="single" w:sz="4" w:space="0" w:color="auto"/>
            </w:tcBorders>
            <w:shd w:val="clear" w:color="auto" w:fill="auto"/>
            <w:vAlign w:val="center"/>
            <w:hideMark/>
          </w:tcPr>
          <w:p w:rsidR="005B3958" w:rsidRPr="00920FD5" w:rsidRDefault="005B3958" w:rsidP="0091103D">
            <w:pPr>
              <w:spacing w:after="0" w:line="240" w:lineRule="auto"/>
              <w:jc w:val="center"/>
              <w:rPr>
                <w:rFonts w:ascii="Arial Narrow" w:eastAsia="Times New Roman" w:hAnsi="Arial Narrow" w:cs="Times New Roman"/>
                <w:b/>
                <w:bCs/>
                <w:color w:val="000000"/>
                <w:sz w:val="18"/>
                <w:szCs w:val="20"/>
                <w:lang w:eastAsia="es-MX"/>
              </w:rPr>
            </w:pPr>
            <w:r w:rsidRPr="00920FD5">
              <w:rPr>
                <w:rFonts w:ascii="Arial Narrow" w:eastAsia="Times New Roman" w:hAnsi="Arial Narrow" w:cs="Times New Roman"/>
                <w:b/>
                <w:bCs/>
                <w:color w:val="000000"/>
                <w:sz w:val="18"/>
                <w:szCs w:val="20"/>
                <w:lang w:eastAsia="es-MX"/>
              </w:rPr>
              <w:t>Costos Total</w:t>
            </w:r>
          </w:p>
        </w:tc>
        <w:tc>
          <w:tcPr>
            <w:tcW w:w="0" w:type="auto"/>
            <w:tcBorders>
              <w:bottom w:val="single" w:sz="4" w:space="0" w:color="auto"/>
              <w:right w:val="single" w:sz="4" w:space="0" w:color="auto"/>
            </w:tcBorders>
            <w:shd w:val="clear" w:color="auto" w:fill="auto"/>
            <w:vAlign w:val="center"/>
            <w:hideMark/>
          </w:tcPr>
          <w:p w:rsidR="005B3958" w:rsidRPr="00920FD5" w:rsidRDefault="005B3958" w:rsidP="0091103D">
            <w:pPr>
              <w:spacing w:after="0" w:line="240" w:lineRule="auto"/>
              <w:jc w:val="center"/>
              <w:rPr>
                <w:rFonts w:ascii="Arial Narrow" w:eastAsia="Times New Roman" w:hAnsi="Arial Narrow" w:cs="Times New Roman"/>
                <w:b/>
                <w:bCs/>
                <w:color w:val="000000"/>
                <w:sz w:val="18"/>
                <w:szCs w:val="20"/>
                <w:lang w:eastAsia="es-MX"/>
              </w:rPr>
            </w:pPr>
            <w:r w:rsidRPr="00920FD5">
              <w:rPr>
                <w:rFonts w:ascii="Arial Narrow" w:eastAsia="Times New Roman" w:hAnsi="Arial Narrow" w:cs="Times New Roman"/>
                <w:b/>
                <w:bCs/>
                <w:color w:val="000000"/>
                <w:sz w:val="18"/>
                <w:szCs w:val="20"/>
                <w:lang w:eastAsia="es-MX"/>
              </w:rPr>
              <w:t>90,099</w:t>
            </w:r>
          </w:p>
        </w:tc>
      </w:tr>
    </w:tbl>
    <w:p w:rsidR="00CE5DB9" w:rsidRPr="00814C47" w:rsidRDefault="00CE5DB9" w:rsidP="00814C47">
      <w:pPr>
        <w:spacing w:after="200" w:line="240" w:lineRule="auto"/>
        <w:contextualSpacing/>
        <w:jc w:val="both"/>
        <w:rPr>
          <w:rFonts w:ascii="Arial Narrow" w:hAnsi="Arial Narrow"/>
          <w:b/>
        </w:rPr>
      </w:pPr>
    </w:p>
    <w:p w:rsidR="00510E2A" w:rsidRPr="009465C0" w:rsidRDefault="009465C0" w:rsidP="009465C0">
      <w:pPr>
        <w:spacing w:after="200" w:line="240" w:lineRule="auto"/>
        <w:contextualSpacing/>
        <w:jc w:val="both"/>
        <w:rPr>
          <w:rFonts w:ascii="Arial Narrow" w:eastAsiaTheme="minorEastAsia" w:hAnsi="Arial Narrow" w:cs="Helvetica"/>
          <w:color w:val="000000"/>
          <w:lang w:val="es-UY" w:eastAsia="es-MX"/>
        </w:rPr>
      </w:pPr>
      <w:r>
        <w:rPr>
          <w:rFonts w:ascii="Arial Narrow" w:eastAsiaTheme="minorEastAsia" w:hAnsi="Arial Narrow" w:cs="Helvetica"/>
          <w:color w:val="000000"/>
          <w:lang w:val="es-UY" w:eastAsia="es-MX"/>
        </w:rPr>
        <w:t>El IR</w:t>
      </w:r>
      <w:r w:rsidR="00CE5DB9" w:rsidRPr="00814C47">
        <w:rPr>
          <w:rFonts w:ascii="Arial Narrow" w:eastAsiaTheme="minorEastAsia" w:hAnsi="Arial Narrow" w:cs="Helvetica"/>
          <w:color w:val="000000"/>
          <w:lang w:val="es-UY" w:eastAsia="es-MX"/>
        </w:rPr>
        <w:t xml:space="preserve"> </w:t>
      </w:r>
      <w:r w:rsidR="00920FD5">
        <w:rPr>
          <w:rFonts w:ascii="Arial Narrow" w:eastAsiaTheme="minorEastAsia" w:hAnsi="Arial Narrow" w:cs="Helvetica"/>
          <w:color w:val="000000"/>
          <w:lang w:val="es-UY" w:eastAsia="es-MX"/>
        </w:rPr>
        <w:t>por división de D</w:t>
      </w:r>
      <w:r w:rsidR="0005477C" w:rsidRPr="00814C47">
        <w:rPr>
          <w:rFonts w:ascii="Arial Narrow" w:eastAsiaTheme="minorEastAsia" w:hAnsi="Arial Narrow" w:cs="Helvetica"/>
          <w:color w:val="000000"/>
          <w:lang w:val="es-UY" w:eastAsia="es-MX"/>
        </w:rPr>
        <w:t xml:space="preserve">istribución y nivel de tensión </w:t>
      </w:r>
      <w:r w:rsidR="00920FD5">
        <w:rPr>
          <w:rFonts w:ascii="Arial Narrow" w:eastAsiaTheme="minorEastAsia" w:hAnsi="Arial Narrow" w:cs="Helvetica"/>
          <w:color w:val="000000"/>
          <w:lang w:val="es-UY" w:eastAsia="es-MX"/>
        </w:rPr>
        <w:t>es el siguiente:</w:t>
      </w:r>
      <w:r w:rsidR="00CE5DB9" w:rsidRPr="00814C47">
        <w:rPr>
          <w:rFonts w:ascii="Arial Narrow" w:eastAsiaTheme="minorEastAsia" w:hAnsi="Arial Narrow" w:cs="Helvetica"/>
          <w:color w:val="000000"/>
          <w:lang w:val="es-UY" w:eastAsia="es-MX"/>
        </w:rPr>
        <w:t xml:space="preserve"> </w:t>
      </w:r>
    </w:p>
    <w:p w:rsidR="00AF79A3" w:rsidRDefault="00AF79A3" w:rsidP="00920FD5">
      <w:pPr>
        <w:pStyle w:val="Descripcin"/>
        <w:spacing w:after="120"/>
        <w:jc w:val="center"/>
        <w:rPr>
          <w:szCs w:val="22"/>
          <w:lang w:val="es-UY"/>
        </w:rPr>
      </w:pPr>
    </w:p>
    <w:p w:rsidR="00AF79A3" w:rsidRDefault="00AF79A3" w:rsidP="00920FD5">
      <w:pPr>
        <w:pStyle w:val="Descripcin"/>
        <w:spacing w:after="120"/>
        <w:jc w:val="center"/>
        <w:rPr>
          <w:szCs w:val="22"/>
          <w:lang w:val="es-UY"/>
        </w:rPr>
      </w:pPr>
    </w:p>
    <w:p w:rsidR="00CE5DB9" w:rsidRPr="00AF79A3" w:rsidRDefault="00CE5DB9" w:rsidP="00920FD5">
      <w:pPr>
        <w:pStyle w:val="Descripcin"/>
        <w:spacing w:after="120"/>
        <w:jc w:val="center"/>
        <w:rPr>
          <w:sz w:val="20"/>
          <w:szCs w:val="22"/>
        </w:rPr>
      </w:pPr>
      <w:r w:rsidRPr="00AF79A3">
        <w:rPr>
          <w:sz w:val="20"/>
          <w:szCs w:val="22"/>
        </w:rPr>
        <w:lastRenderedPageBreak/>
        <w:t xml:space="preserve">Tabla </w:t>
      </w:r>
      <w:r w:rsidRPr="00AF79A3">
        <w:rPr>
          <w:sz w:val="20"/>
          <w:szCs w:val="22"/>
        </w:rPr>
        <w:fldChar w:fldCharType="begin"/>
      </w:r>
      <w:r w:rsidRPr="00AF79A3">
        <w:rPr>
          <w:sz w:val="20"/>
          <w:szCs w:val="22"/>
        </w:rPr>
        <w:instrText xml:space="preserve"> SEQ Tabla \* ARABIC </w:instrText>
      </w:r>
      <w:r w:rsidRPr="00AF79A3">
        <w:rPr>
          <w:sz w:val="20"/>
          <w:szCs w:val="22"/>
        </w:rPr>
        <w:fldChar w:fldCharType="separate"/>
      </w:r>
      <w:r w:rsidR="00E61BAB" w:rsidRPr="00AF79A3">
        <w:rPr>
          <w:noProof/>
          <w:sz w:val="20"/>
          <w:szCs w:val="22"/>
        </w:rPr>
        <w:t>6</w:t>
      </w:r>
      <w:r w:rsidRPr="00AF79A3">
        <w:rPr>
          <w:sz w:val="20"/>
          <w:szCs w:val="22"/>
        </w:rPr>
        <w:fldChar w:fldCharType="end"/>
      </w:r>
      <w:r w:rsidR="00BF7491" w:rsidRPr="00AF79A3">
        <w:rPr>
          <w:sz w:val="20"/>
          <w:szCs w:val="22"/>
        </w:rPr>
        <w:t>. Ingreso Requerido por división</w:t>
      </w:r>
      <w:r w:rsidR="00F615BE" w:rsidRPr="00AF79A3">
        <w:rPr>
          <w:sz w:val="20"/>
          <w:szCs w:val="22"/>
        </w:rPr>
        <w:t xml:space="preserve"> de distribución</w:t>
      </w:r>
    </w:p>
    <w:tbl>
      <w:tblPr>
        <w:tblW w:w="0" w:type="auto"/>
        <w:jc w:val="center"/>
        <w:tblCellMar>
          <w:left w:w="70" w:type="dxa"/>
          <w:right w:w="70" w:type="dxa"/>
        </w:tblCellMar>
        <w:tblLook w:val="04A0" w:firstRow="1" w:lastRow="0" w:firstColumn="1" w:lastColumn="0" w:noHBand="0" w:noVBand="1"/>
      </w:tblPr>
      <w:tblGrid>
        <w:gridCol w:w="1674"/>
        <w:gridCol w:w="1212"/>
        <w:gridCol w:w="1212"/>
        <w:gridCol w:w="1212"/>
      </w:tblGrid>
      <w:tr w:rsidR="0005477C" w:rsidRPr="00920FD5" w:rsidTr="00AF2F0E">
        <w:trPr>
          <w:trHeight w:val="207"/>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365F91" w:themeFill="accent1" w:themeFillShade="BF"/>
            <w:vAlign w:val="center"/>
            <w:hideMark/>
          </w:tcPr>
          <w:p w:rsidR="00920FD5" w:rsidRDefault="009465C0" w:rsidP="00920FD5">
            <w:pPr>
              <w:spacing w:after="0" w:line="240" w:lineRule="auto"/>
              <w:jc w:val="center"/>
              <w:rPr>
                <w:rFonts w:ascii="Arial Narrow" w:eastAsia="Times New Roman" w:hAnsi="Arial Narrow" w:cs="Times New Roman"/>
                <w:b/>
                <w:bCs/>
                <w:color w:val="FFFFFF"/>
                <w:sz w:val="18"/>
                <w:szCs w:val="18"/>
                <w:lang w:eastAsia="es-MX"/>
              </w:rPr>
            </w:pPr>
            <w:r w:rsidRPr="00920FD5">
              <w:rPr>
                <w:rFonts w:ascii="Arial Narrow" w:eastAsia="Times New Roman" w:hAnsi="Arial Narrow" w:cs="Times New Roman"/>
                <w:b/>
                <w:bCs/>
                <w:color w:val="FFFFFF"/>
                <w:sz w:val="18"/>
                <w:szCs w:val="18"/>
                <w:lang w:eastAsia="es-MX"/>
              </w:rPr>
              <w:t>División de</w:t>
            </w:r>
          </w:p>
          <w:p w:rsidR="0005477C" w:rsidRPr="00920FD5" w:rsidRDefault="009465C0" w:rsidP="00920FD5">
            <w:pPr>
              <w:spacing w:after="0" w:line="240" w:lineRule="auto"/>
              <w:jc w:val="center"/>
              <w:rPr>
                <w:rFonts w:ascii="Arial Narrow" w:eastAsia="Times New Roman" w:hAnsi="Arial Narrow" w:cs="Times New Roman"/>
                <w:b/>
                <w:bCs/>
                <w:color w:val="FFFFFF"/>
                <w:sz w:val="18"/>
                <w:szCs w:val="18"/>
                <w:lang w:eastAsia="es-MX"/>
              </w:rPr>
            </w:pPr>
            <w:r w:rsidRPr="00920FD5">
              <w:rPr>
                <w:rFonts w:ascii="Arial Narrow" w:eastAsia="Times New Roman" w:hAnsi="Arial Narrow" w:cs="Times New Roman"/>
                <w:b/>
                <w:bCs/>
                <w:color w:val="FFFFFF"/>
                <w:sz w:val="18"/>
                <w:szCs w:val="18"/>
                <w:lang w:eastAsia="es-MX"/>
              </w:rPr>
              <w:t>Distribución</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365F91" w:themeFill="accent1" w:themeFillShade="BF"/>
            <w:vAlign w:val="center"/>
            <w:hideMark/>
          </w:tcPr>
          <w:p w:rsidR="00920FD5" w:rsidRDefault="001726B6" w:rsidP="00920FD5">
            <w:pPr>
              <w:spacing w:after="0" w:line="240" w:lineRule="auto"/>
              <w:jc w:val="center"/>
              <w:rPr>
                <w:rFonts w:ascii="Arial Narrow" w:eastAsia="Times New Roman" w:hAnsi="Arial Narrow" w:cs="Times New Roman"/>
                <w:b/>
                <w:bCs/>
                <w:color w:val="FFFFFF"/>
                <w:sz w:val="18"/>
                <w:szCs w:val="18"/>
                <w:lang w:eastAsia="es-MX"/>
              </w:rPr>
            </w:pPr>
            <w:r w:rsidRPr="00920FD5">
              <w:rPr>
                <w:rFonts w:ascii="Arial Narrow" w:eastAsia="Times New Roman" w:hAnsi="Arial Narrow" w:cs="Times New Roman"/>
                <w:b/>
                <w:bCs/>
                <w:color w:val="FFFFFF"/>
                <w:sz w:val="18"/>
                <w:szCs w:val="18"/>
                <w:lang w:eastAsia="es-MX"/>
              </w:rPr>
              <w:t>IR en</w:t>
            </w:r>
            <w:r w:rsidR="0005477C" w:rsidRPr="00920FD5">
              <w:rPr>
                <w:rFonts w:ascii="Arial Narrow" w:eastAsia="Times New Roman" w:hAnsi="Arial Narrow" w:cs="Times New Roman"/>
                <w:b/>
                <w:bCs/>
                <w:color w:val="FFFFFF"/>
                <w:sz w:val="18"/>
                <w:szCs w:val="18"/>
                <w:lang w:eastAsia="es-MX"/>
              </w:rPr>
              <w:t xml:space="preserve"> BT</w:t>
            </w:r>
          </w:p>
          <w:p w:rsidR="0005477C" w:rsidRPr="00920FD5" w:rsidRDefault="0005477C" w:rsidP="00920FD5">
            <w:pPr>
              <w:spacing w:after="0" w:line="240" w:lineRule="auto"/>
              <w:jc w:val="center"/>
              <w:rPr>
                <w:rFonts w:ascii="Arial Narrow" w:eastAsia="Times New Roman" w:hAnsi="Arial Narrow" w:cs="Times New Roman"/>
                <w:b/>
                <w:bCs/>
                <w:i/>
                <w:color w:val="FFFFFF"/>
                <w:sz w:val="18"/>
                <w:szCs w:val="18"/>
                <w:lang w:eastAsia="es-MX"/>
              </w:rPr>
            </w:pPr>
            <w:r w:rsidRPr="00920FD5">
              <w:rPr>
                <w:rFonts w:ascii="Arial Narrow" w:eastAsia="Times New Roman" w:hAnsi="Arial Narrow" w:cs="Times New Roman"/>
                <w:b/>
                <w:bCs/>
                <w:i/>
                <w:color w:val="FFFFFF"/>
                <w:sz w:val="14"/>
                <w:szCs w:val="18"/>
                <w:lang w:eastAsia="es-MX"/>
              </w:rPr>
              <w:t>(millones de pesos)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365F91" w:themeFill="accent1" w:themeFillShade="BF"/>
            <w:vAlign w:val="center"/>
            <w:hideMark/>
          </w:tcPr>
          <w:p w:rsidR="00920FD5" w:rsidRDefault="001726B6" w:rsidP="00920FD5">
            <w:pPr>
              <w:spacing w:after="0" w:line="240" w:lineRule="auto"/>
              <w:jc w:val="center"/>
              <w:rPr>
                <w:rFonts w:ascii="Arial Narrow" w:eastAsia="Times New Roman" w:hAnsi="Arial Narrow" w:cs="Times New Roman"/>
                <w:b/>
                <w:bCs/>
                <w:color w:val="FFFFFF"/>
                <w:sz w:val="18"/>
                <w:szCs w:val="18"/>
                <w:lang w:eastAsia="es-MX"/>
              </w:rPr>
            </w:pPr>
            <w:r w:rsidRPr="00920FD5">
              <w:rPr>
                <w:rFonts w:ascii="Arial Narrow" w:eastAsia="Times New Roman" w:hAnsi="Arial Narrow" w:cs="Times New Roman"/>
                <w:b/>
                <w:bCs/>
                <w:color w:val="FFFFFF"/>
                <w:sz w:val="18"/>
                <w:szCs w:val="18"/>
                <w:lang w:eastAsia="es-MX"/>
              </w:rPr>
              <w:t>IR en</w:t>
            </w:r>
            <w:r w:rsidR="0005477C" w:rsidRPr="00920FD5">
              <w:rPr>
                <w:rFonts w:ascii="Arial Narrow" w:eastAsia="Times New Roman" w:hAnsi="Arial Narrow" w:cs="Times New Roman"/>
                <w:b/>
                <w:bCs/>
                <w:color w:val="FFFFFF"/>
                <w:sz w:val="18"/>
                <w:szCs w:val="18"/>
                <w:lang w:eastAsia="es-MX"/>
              </w:rPr>
              <w:t xml:space="preserve"> MT</w:t>
            </w:r>
          </w:p>
          <w:p w:rsidR="0005477C" w:rsidRPr="00920FD5" w:rsidRDefault="0005477C" w:rsidP="00920FD5">
            <w:pPr>
              <w:spacing w:after="0" w:line="240" w:lineRule="auto"/>
              <w:jc w:val="center"/>
              <w:rPr>
                <w:rFonts w:ascii="Arial Narrow" w:eastAsia="Times New Roman" w:hAnsi="Arial Narrow" w:cs="Times New Roman"/>
                <w:b/>
                <w:bCs/>
                <w:i/>
                <w:color w:val="FFFFFF"/>
                <w:sz w:val="18"/>
                <w:szCs w:val="18"/>
                <w:lang w:eastAsia="es-MX"/>
              </w:rPr>
            </w:pPr>
            <w:r w:rsidRPr="00920FD5">
              <w:rPr>
                <w:rFonts w:ascii="Arial Narrow" w:eastAsia="Times New Roman" w:hAnsi="Arial Narrow" w:cs="Times New Roman"/>
                <w:b/>
                <w:bCs/>
                <w:i/>
                <w:color w:val="FFFFFF"/>
                <w:sz w:val="14"/>
                <w:szCs w:val="18"/>
                <w:lang w:eastAsia="es-MX"/>
              </w:rPr>
              <w:t>(millones de pesos)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365F91" w:themeFill="accent1" w:themeFillShade="BF"/>
            <w:vAlign w:val="center"/>
            <w:hideMark/>
          </w:tcPr>
          <w:p w:rsidR="0005477C" w:rsidRPr="00920FD5" w:rsidRDefault="001726B6" w:rsidP="00920FD5">
            <w:pPr>
              <w:spacing w:after="0" w:line="240" w:lineRule="auto"/>
              <w:jc w:val="center"/>
              <w:rPr>
                <w:rFonts w:ascii="Arial Narrow" w:eastAsia="Times New Roman" w:hAnsi="Arial Narrow" w:cs="Times New Roman"/>
                <w:b/>
                <w:bCs/>
                <w:color w:val="FFFFFF"/>
                <w:sz w:val="18"/>
                <w:szCs w:val="18"/>
                <w:lang w:eastAsia="es-MX"/>
              </w:rPr>
            </w:pPr>
            <w:r w:rsidRPr="00920FD5">
              <w:rPr>
                <w:rFonts w:ascii="Arial Narrow" w:eastAsia="Times New Roman" w:hAnsi="Arial Narrow" w:cs="Times New Roman"/>
                <w:b/>
                <w:bCs/>
                <w:color w:val="FFFFFF"/>
                <w:sz w:val="18"/>
                <w:szCs w:val="18"/>
                <w:lang w:eastAsia="es-MX"/>
              </w:rPr>
              <w:t xml:space="preserve">IR </w:t>
            </w:r>
            <w:r w:rsidR="00920FD5">
              <w:rPr>
                <w:rFonts w:ascii="Arial Narrow" w:eastAsia="Times New Roman" w:hAnsi="Arial Narrow" w:cs="Times New Roman"/>
                <w:b/>
                <w:bCs/>
                <w:color w:val="FFFFFF"/>
                <w:sz w:val="18"/>
                <w:szCs w:val="18"/>
                <w:lang w:eastAsia="es-MX"/>
              </w:rPr>
              <w:t>Total</w:t>
            </w:r>
          </w:p>
          <w:p w:rsidR="0005477C" w:rsidRPr="00920FD5" w:rsidRDefault="0005477C" w:rsidP="00920FD5">
            <w:pPr>
              <w:spacing w:after="0" w:line="240" w:lineRule="auto"/>
              <w:jc w:val="center"/>
              <w:rPr>
                <w:rFonts w:ascii="Arial Narrow" w:eastAsia="Times New Roman" w:hAnsi="Arial Narrow" w:cs="Times New Roman"/>
                <w:b/>
                <w:bCs/>
                <w:i/>
                <w:color w:val="FFFFFF"/>
                <w:sz w:val="18"/>
                <w:szCs w:val="18"/>
                <w:lang w:eastAsia="es-MX"/>
              </w:rPr>
            </w:pPr>
            <w:r w:rsidRPr="00920FD5">
              <w:rPr>
                <w:rFonts w:ascii="Arial Narrow" w:eastAsia="Times New Roman" w:hAnsi="Arial Narrow" w:cs="Times New Roman"/>
                <w:b/>
                <w:bCs/>
                <w:i/>
                <w:color w:val="FFFFFF"/>
                <w:sz w:val="14"/>
                <w:szCs w:val="18"/>
                <w:lang w:eastAsia="es-MX"/>
              </w:rPr>
              <w:t>(millones de pesos)</w:t>
            </w:r>
          </w:p>
        </w:tc>
      </w:tr>
      <w:tr w:rsidR="0005477C" w:rsidRPr="00920FD5" w:rsidTr="00AF2F0E">
        <w:trPr>
          <w:trHeight w:val="207"/>
          <w:jc w:val="center"/>
        </w:trPr>
        <w:tc>
          <w:tcPr>
            <w:tcW w:w="0" w:type="auto"/>
            <w:vMerge/>
            <w:tcBorders>
              <w:top w:val="single" w:sz="8" w:space="0" w:color="auto"/>
              <w:left w:val="single" w:sz="8" w:space="0" w:color="auto"/>
              <w:bottom w:val="single" w:sz="8" w:space="0" w:color="000000"/>
              <w:right w:val="single" w:sz="8" w:space="0" w:color="auto"/>
            </w:tcBorders>
            <w:shd w:val="clear" w:color="auto" w:fill="365F91" w:themeFill="accent1" w:themeFillShade="BF"/>
            <w:vAlign w:val="center"/>
            <w:hideMark/>
          </w:tcPr>
          <w:p w:rsidR="0005477C" w:rsidRPr="00920FD5" w:rsidRDefault="0005477C" w:rsidP="00814C47">
            <w:pPr>
              <w:spacing w:after="0" w:line="240" w:lineRule="auto"/>
              <w:jc w:val="both"/>
              <w:rPr>
                <w:rFonts w:ascii="Arial Narrow" w:eastAsia="Times New Roman" w:hAnsi="Arial Narrow" w:cs="Times New Roman"/>
                <w:b/>
                <w:bCs/>
                <w:color w:val="FFFFFF"/>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shd w:val="clear" w:color="auto" w:fill="365F91" w:themeFill="accent1" w:themeFillShade="BF"/>
            <w:vAlign w:val="center"/>
            <w:hideMark/>
          </w:tcPr>
          <w:p w:rsidR="0005477C" w:rsidRPr="00920FD5" w:rsidRDefault="0005477C" w:rsidP="00814C47">
            <w:pPr>
              <w:spacing w:after="0" w:line="240" w:lineRule="auto"/>
              <w:jc w:val="both"/>
              <w:rPr>
                <w:rFonts w:ascii="Arial Narrow" w:eastAsia="Times New Roman" w:hAnsi="Arial Narrow" w:cs="Times New Roman"/>
                <w:b/>
                <w:bCs/>
                <w:color w:val="FFFFFF"/>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shd w:val="clear" w:color="auto" w:fill="365F91" w:themeFill="accent1" w:themeFillShade="BF"/>
            <w:vAlign w:val="center"/>
            <w:hideMark/>
          </w:tcPr>
          <w:p w:rsidR="0005477C" w:rsidRPr="00920FD5" w:rsidRDefault="0005477C" w:rsidP="00814C47">
            <w:pPr>
              <w:spacing w:after="0" w:line="240" w:lineRule="auto"/>
              <w:jc w:val="both"/>
              <w:rPr>
                <w:rFonts w:ascii="Arial Narrow" w:eastAsia="Times New Roman" w:hAnsi="Arial Narrow" w:cs="Times New Roman"/>
                <w:b/>
                <w:bCs/>
                <w:color w:val="FFFFFF"/>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shd w:val="clear" w:color="auto" w:fill="365F91" w:themeFill="accent1" w:themeFillShade="BF"/>
            <w:vAlign w:val="center"/>
            <w:hideMark/>
          </w:tcPr>
          <w:p w:rsidR="0005477C" w:rsidRPr="00920FD5" w:rsidRDefault="0005477C" w:rsidP="00814C47">
            <w:pPr>
              <w:spacing w:after="0" w:line="240" w:lineRule="auto"/>
              <w:jc w:val="both"/>
              <w:rPr>
                <w:rFonts w:ascii="Arial Narrow" w:eastAsia="Times New Roman" w:hAnsi="Arial Narrow" w:cs="Times New Roman"/>
                <w:b/>
                <w:bCs/>
                <w:color w:val="FFFFFF"/>
                <w:sz w:val="18"/>
                <w:szCs w:val="18"/>
                <w:lang w:eastAsia="es-MX"/>
              </w:rPr>
            </w:pPr>
          </w:p>
        </w:tc>
      </w:tr>
      <w:tr w:rsidR="0005477C" w:rsidRPr="00920FD5" w:rsidTr="00920FD5">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05477C" w:rsidRPr="00920FD5" w:rsidRDefault="0005477C" w:rsidP="00814C47">
            <w:pPr>
              <w:spacing w:after="0" w:line="240" w:lineRule="auto"/>
              <w:jc w:val="both"/>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val="es-AR" w:eastAsia="es-MX"/>
              </w:rPr>
              <w:t>BAJA CALIFORNIA</w:t>
            </w:r>
          </w:p>
        </w:tc>
        <w:tc>
          <w:tcPr>
            <w:tcW w:w="0" w:type="auto"/>
            <w:tcBorders>
              <w:top w:val="nil"/>
              <w:left w:val="nil"/>
              <w:bottom w:val="single" w:sz="8" w:space="0" w:color="FFFFFF"/>
              <w:right w:val="single" w:sz="8" w:space="0" w:color="auto"/>
            </w:tcBorders>
            <w:shd w:val="clear" w:color="auto" w:fill="auto"/>
            <w:vAlign w:val="center"/>
            <w:hideMark/>
          </w:tcPr>
          <w:p w:rsidR="0005477C" w:rsidRPr="00920FD5" w:rsidRDefault="0005477C" w:rsidP="009465C0">
            <w:pPr>
              <w:spacing w:after="0" w:line="240" w:lineRule="auto"/>
              <w:jc w:val="center"/>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eastAsia="es-MX"/>
              </w:rPr>
              <w:t>2,335</w:t>
            </w:r>
          </w:p>
        </w:tc>
        <w:tc>
          <w:tcPr>
            <w:tcW w:w="0" w:type="auto"/>
            <w:tcBorders>
              <w:top w:val="nil"/>
              <w:left w:val="nil"/>
              <w:bottom w:val="single" w:sz="8" w:space="0" w:color="FFFFFF"/>
              <w:right w:val="single" w:sz="8" w:space="0" w:color="auto"/>
            </w:tcBorders>
            <w:shd w:val="clear" w:color="auto" w:fill="auto"/>
            <w:vAlign w:val="center"/>
            <w:hideMark/>
          </w:tcPr>
          <w:p w:rsidR="0005477C" w:rsidRPr="00920FD5" w:rsidRDefault="0005477C" w:rsidP="009465C0">
            <w:pPr>
              <w:spacing w:after="0" w:line="240" w:lineRule="auto"/>
              <w:jc w:val="center"/>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eastAsia="es-MX"/>
              </w:rPr>
              <w:t>2,591</w:t>
            </w:r>
          </w:p>
        </w:tc>
        <w:tc>
          <w:tcPr>
            <w:tcW w:w="0" w:type="auto"/>
            <w:tcBorders>
              <w:top w:val="nil"/>
              <w:left w:val="nil"/>
              <w:bottom w:val="single" w:sz="8" w:space="0" w:color="FFFFFF"/>
              <w:right w:val="single" w:sz="8" w:space="0" w:color="auto"/>
            </w:tcBorders>
            <w:shd w:val="clear" w:color="auto" w:fill="auto"/>
            <w:vAlign w:val="center"/>
            <w:hideMark/>
          </w:tcPr>
          <w:p w:rsidR="0005477C" w:rsidRPr="00920FD5" w:rsidRDefault="0005477C" w:rsidP="009465C0">
            <w:pPr>
              <w:spacing w:after="0" w:line="240" w:lineRule="auto"/>
              <w:jc w:val="center"/>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eastAsia="es-MX"/>
              </w:rPr>
              <w:t>4,926</w:t>
            </w:r>
          </w:p>
        </w:tc>
      </w:tr>
      <w:tr w:rsidR="0005477C" w:rsidRPr="00920FD5" w:rsidTr="00920FD5">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05477C" w:rsidRPr="00920FD5" w:rsidRDefault="0005477C" w:rsidP="00814C47">
            <w:pPr>
              <w:spacing w:after="0" w:line="240" w:lineRule="auto"/>
              <w:jc w:val="both"/>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val="es-AR" w:eastAsia="es-MX"/>
              </w:rPr>
              <w:t>BAJIO</w:t>
            </w:r>
          </w:p>
        </w:tc>
        <w:tc>
          <w:tcPr>
            <w:tcW w:w="0" w:type="auto"/>
            <w:tcBorders>
              <w:top w:val="nil"/>
              <w:left w:val="nil"/>
              <w:bottom w:val="single" w:sz="8" w:space="0" w:color="FFFFFF"/>
              <w:right w:val="single" w:sz="8" w:space="0" w:color="auto"/>
            </w:tcBorders>
            <w:shd w:val="clear" w:color="auto" w:fill="auto"/>
            <w:vAlign w:val="center"/>
            <w:hideMark/>
          </w:tcPr>
          <w:p w:rsidR="0005477C" w:rsidRPr="00920FD5" w:rsidRDefault="0005477C" w:rsidP="009465C0">
            <w:pPr>
              <w:spacing w:after="0" w:line="240" w:lineRule="auto"/>
              <w:jc w:val="center"/>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eastAsia="es-MX"/>
              </w:rPr>
              <w:t>4,188</w:t>
            </w:r>
          </w:p>
        </w:tc>
        <w:tc>
          <w:tcPr>
            <w:tcW w:w="0" w:type="auto"/>
            <w:tcBorders>
              <w:top w:val="nil"/>
              <w:left w:val="nil"/>
              <w:bottom w:val="single" w:sz="8" w:space="0" w:color="FFFFFF"/>
              <w:right w:val="single" w:sz="8" w:space="0" w:color="auto"/>
            </w:tcBorders>
            <w:shd w:val="clear" w:color="auto" w:fill="auto"/>
            <w:vAlign w:val="center"/>
            <w:hideMark/>
          </w:tcPr>
          <w:p w:rsidR="0005477C" w:rsidRPr="00920FD5" w:rsidRDefault="0005477C" w:rsidP="009465C0">
            <w:pPr>
              <w:spacing w:after="0" w:line="240" w:lineRule="auto"/>
              <w:jc w:val="center"/>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eastAsia="es-MX"/>
              </w:rPr>
              <w:t>3,744</w:t>
            </w:r>
          </w:p>
        </w:tc>
        <w:tc>
          <w:tcPr>
            <w:tcW w:w="0" w:type="auto"/>
            <w:tcBorders>
              <w:top w:val="nil"/>
              <w:left w:val="nil"/>
              <w:bottom w:val="single" w:sz="8" w:space="0" w:color="FFFFFF"/>
              <w:right w:val="single" w:sz="8" w:space="0" w:color="auto"/>
            </w:tcBorders>
            <w:shd w:val="clear" w:color="auto" w:fill="auto"/>
            <w:vAlign w:val="center"/>
            <w:hideMark/>
          </w:tcPr>
          <w:p w:rsidR="0005477C" w:rsidRPr="00920FD5" w:rsidRDefault="0005477C" w:rsidP="009465C0">
            <w:pPr>
              <w:spacing w:after="0" w:line="240" w:lineRule="auto"/>
              <w:jc w:val="center"/>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eastAsia="es-MX"/>
              </w:rPr>
              <w:t>7,932</w:t>
            </w:r>
          </w:p>
        </w:tc>
      </w:tr>
      <w:tr w:rsidR="0005477C" w:rsidRPr="00920FD5" w:rsidTr="00920FD5">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05477C" w:rsidRPr="00920FD5" w:rsidRDefault="0005477C" w:rsidP="00814C47">
            <w:pPr>
              <w:spacing w:after="0" w:line="240" w:lineRule="auto"/>
              <w:jc w:val="both"/>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val="es-AR" w:eastAsia="es-MX"/>
              </w:rPr>
              <w:t>CENTRO OCCIDENTE</w:t>
            </w:r>
          </w:p>
        </w:tc>
        <w:tc>
          <w:tcPr>
            <w:tcW w:w="0" w:type="auto"/>
            <w:tcBorders>
              <w:top w:val="nil"/>
              <w:left w:val="nil"/>
              <w:bottom w:val="single" w:sz="8" w:space="0" w:color="FFFFFF"/>
              <w:right w:val="single" w:sz="8" w:space="0" w:color="auto"/>
            </w:tcBorders>
            <w:shd w:val="clear" w:color="auto" w:fill="auto"/>
            <w:vAlign w:val="center"/>
            <w:hideMark/>
          </w:tcPr>
          <w:p w:rsidR="0005477C" w:rsidRPr="00920FD5" w:rsidRDefault="0005477C" w:rsidP="009465C0">
            <w:pPr>
              <w:spacing w:after="0" w:line="240" w:lineRule="auto"/>
              <w:jc w:val="center"/>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eastAsia="es-MX"/>
              </w:rPr>
              <w:t>2,505</w:t>
            </w:r>
          </w:p>
        </w:tc>
        <w:tc>
          <w:tcPr>
            <w:tcW w:w="0" w:type="auto"/>
            <w:tcBorders>
              <w:top w:val="nil"/>
              <w:left w:val="nil"/>
              <w:bottom w:val="single" w:sz="8" w:space="0" w:color="FFFFFF"/>
              <w:right w:val="single" w:sz="8" w:space="0" w:color="auto"/>
            </w:tcBorders>
            <w:shd w:val="clear" w:color="auto" w:fill="auto"/>
            <w:vAlign w:val="center"/>
            <w:hideMark/>
          </w:tcPr>
          <w:p w:rsidR="0005477C" w:rsidRPr="00920FD5" w:rsidRDefault="0005477C" w:rsidP="009465C0">
            <w:pPr>
              <w:spacing w:after="0" w:line="240" w:lineRule="auto"/>
              <w:jc w:val="center"/>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eastAsia="es-MX"/>
              </w:rPr>
              <w:t>2,057</w:t>
            </w:r>
          </w:p>
        </w:tc>
        <w:tc>
          <w:tcPr>
            <w:tcW w:w="0" w:type="auto"/>
            <w:tcBorders>
              <w:top w:val="nil"/>
              <w:left w:val="nil"/>
              <w:bottom w:val="single" w:sz="8" w:space="0" w:color="FFFFFF"/>
              <w:right w:val="single" w:sz="8" w:space="0" w:color="auto"/>
            </w:tcBorders>
            <w:shd w:val="clear" w:color="auto" w:fill="auto"/>
            <w:vAlign w:val="center"/>
            <w:hideMark/>
          </w:tcPr>
          <w:p w:rsidR="0005477C" w:rsidRPr="00920FD5" w:rsidRDefault="0005477C" w:rsidP="009465C0">
            <w:pPr>
              <w:spacing w:after="0" w:line="240" w:lineRule="auto"/>
              <w:jc w:val="center"/>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eastAsia="es-MX"/>
              </w:rPr>
              <w:t>4,562</w:t>
            </w:r>
          </w:p>
        </w:tc>
      </w:tr>
      <w:tr w:rsidR="0005477C" w:rsidRPr="00920FD5" w:rsidTr="00920FD5">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05477C" w:rsidRPr="00920FD5" w:rsidRDefault="0005477C" w:rsidP="00814C47">
            <w:pPr>
              <w:spacing w:after="0" w:line="240" w:lineRule="auto"/>
              <w:jc w:val="both"/>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val="es-AR" w:eastAsia="es-MX"/>
              </w:rPr>
              <w:t>CENTRO ORIENTE</w:t>
            </w:r>
          </w:p>
        </w:tc>
        <w:tc>
          <w:tcPr>
            <w:tcW w:w="0" w:type="auto"/>
            <w:tcBorders>
              <w:top w:val="nil"/>
              <w:left w:val="nil"/>
              <w:bottom w:val="single" w:sz="8" w:space="0" w:color="FFFFFF"/>
              <w:right w:val="single" w:sz="8" w:space="0" w:color="auto"/>
            </w:tcBorders>
            <w:shd w:val="clear" w:color="auto" w:fill="auto"/>
            <w:vAlign w:val="center"/>
            <w:hideMark/>
          </w:tcPr>
          <w:p w:rsidR="0005477C" w:rsidRPr="00920FD5" w:rsidRDefault="0005477C" w:rsidP="009465C0">
            <w:pPr>
              <w:spacing w:after="0" w:line="240" w:lineRule="auto"/>
              <w:jc w:val="center"/>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eastAsia="es-MX"/>
              </w:rPr>
              <w:t>2,881</w:t>
            </w:r>
          </w:p>
        </w:tc>
        <w:tc>
          <w:tcPr>
            <w:tcW w:w="0" w:type="auto"/>
            <w:tcBorders>
              <w:top w:val="nil"/>
              <w:left w:val="nil"/>
              <w:bottom w:val="single" w:sz="8" w:space="0" w:color="FFFFFF"/>
              <w:right w:val="single" w:sz="8" w:space="0" w:color="auto"/>
            </w:tcBorders>
            <w:shd w:val="clear" w:color="auto" w:fill="auto"/>
            <w:vAlign w:val="center"/>
            <w:hideMark/>
          </w:tcPr>
          <w:p w:rsidR="0005477C" w:rsidRPr="00920FD5" w:rsidRDefault="0005477C" w:rsidP="009465C0">
            <w:pPr>
              <w:spacing w:after="0" w:line="240" w:lineRule="auto"/>
              <w:jc w:val="center"/>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eastAsia="es-MX"/>
              </w:rPr>
              <w:t>3,222</w:t>
            </w:r>
          </w:p>
        </w:tc>
        <w:tc>
          <w:tcPr>
            <w:tcW w:w="0" w:type="auto"/>
            <w:tcBorders>
              <w:top w:val="nil"/>
              <w:left w:val="nil"/>
              <w:bottom w:val="single" w:sz="8" w:space="0" w:color="FFFFFF"/>
              <w:right w:val="single" w:sz="8" w:space="0" w:color="auto"/>
            </w:tcBorders>
            <w:shd w:val="clear" w:color="auto" w:fill="auto"/>
            <w:vAlign w:val="center"/>
            <w:hideMark/>
          </w:tcPr>
          <w:p w:rsidR="0005477C" w:rsidRPr="00920FD5" w:rsidRDefault="0005477C" w:rsidP="009465C0">
            <w:pPr>
              <w:spacing w:after="0" w:line="240" w:lineRule="auto"/>
              <w:jc w:val="center"/>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eastAsia="es-MX"/>
              </w:rPr>
              <w:t>6,103</w:t>
            </w:r>
          </w:p>
        </w:tc>
      </w:tr>
      <w:tr w:rsidR="0005477C" w:rsidRPr="00920FD5" w:rsidTr="00920FD5">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05477C" w:rsidRPr="00920FD5" w:rsidRDefault="0005477C" w:rsidP="00814C47">
            <w:pPr>
              <w:spacing w:after="0" w:line="240" w:lineRule="auto"/>
              <w:jc w:val="both"/>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val="es-AR" w:eastAsia="es-MX"/>
              </w:rPr>
              <w:t>CENTRO SUR</w:t>
            </w:r>
          </w:p>
        </w:tc>
        <w:tc>
          <w:tcPr>
            <w:tcW w:w="0" w:type="auto"/>
            <w:tcBorders>
              <w:top w:val="nil"/>
              <w:left w:val="nil"/>
              <w:bottom w:val="single" w:sz="8" w:space="0" w:color="FFFFFF"/>
              <w:right w:val="single" w:sz="8" w:space="0" w:color="auto"/>
            </w:tcBorders>
            <w:shd w:val="clear" w:color="auto" w:fill="auto"/>
            <w:vAlign w:val="center"/>
            <w:hideMark/>
          </w:tcPr>
          <w:p w:rsidR="0005477C" w:rsidRPr="00920FD5" w:rsidRDefault="0005477C" w:rsidP="009465C0">
            <w:pPr>
              <w:spacing w:after="0" w:line="240" w:lineRule="auto"/>
              <w:jc w:val="center"/>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eastAsia="es-MX"/>
              </w:rPr>
              <w:t>2,391</w:t>
            </w:r>
          </w:p>
        </w:tc>
        <w:tc>
          <w:tcPr>
            <w:tcW w:w="0" w:type="auto"/>
            <w:tcBorders>
              <w:top w:val="nil"/>
              <w:left w:val="nil"/>
              <w:bottom w:val="single" w:sz="8" w:space="0" w:color="FFFFFF"/>
              <w:right w:val="single" w:sz="8" w:space="0" w:color="auto"/>
            </w:tcBorders>
            <w:shd w:val="clear" w:color="auto" w:fill="auto"/>
            <w:vAlign w:val="center"/>
            <w:hideMark/>
          </w:tcPr>
          <w:p w:rsidR="0005477C" w:rsidRPr="00920FD5" w:rsidRDefault="0005477C" w:rsidP="009465C0">
            <w:pPr>
              <w:spacing w:after="0" w:line="240" w:lineRule="auto"/>
              <w:jc w:val="center"/>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eastAsia="es-MX"/>
              </w:rPr>
              <w:t>3,377</w:t>
            </w:r>
          </w:p>
        </w:tc>
        <w:tc>
          <w:tcPr>
            <w:tcW w:w="0" w:type="auto"/>
            <w:tcBorders>
              <w:top w:val="nil"/>
              <w:left w:val="nil"/>
              <w:bottom w:val="single" w:sz="8" w:space="0" w:color="FFFFFF"/>
              <w:right w:val="single" w:sz="8" w:space="0" w:color="auto"/>
            </w:tcBorders>
            <w:shd w:val="clear" w:color="auto" w:fill="auto"/>
            <w:vAlign w:val="center"/>
            <w:hideMark/>
          </w:tcPr>
          <w:p w:rsidR="0005477C" w:rsidRPr="00920FD5" w:rsidRDefault="0005477C" w:rsidP="009465C0">
            <w:pPr>
              <w:spacing w:after="0" w:line="240" w:lineRule="auto"/>
              <w:jc w:val="center"/>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eastAsia="es-MX"/>
              </w:rPr>
              <w:t>5,767</w:t>
            </w:r>
          </w:p>
        </w:tc>
      </w:tr>
      <w:tr w:rsidR="0005477C" w:rsidRPr="00920FD5" w:rsidTr="00920FD5">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05477C" w:rsidRPr="00920FD5" w:rsidRDefault="0005477C" w:rsidP="00814C47">
            <w:pPr>
              <w:spacing w:after="0" w:line="240" w:lineRule="auto"/>
              <w:jc w:val="both"/>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val="es-AR" w:eastAsia="es-MX"/>
              </w:rPr>
              <w:t>GOLFO NORTE</w:t>
            </w:r>
          </w:p>
        </w:tc>
        <w:tc>
          <w:tcPr>
            <w:tcW w:w="0" w:type="auto"/>
            <w:tcBorders>
              <w:top w:val="nil"/>
              <w:left w:val="nil"/>
              <w:bottom w:val="single" w:sz="8" w:space="0" w:color="FFFFFF"/>
              <w:right w:val="single" w:sz="8" w:space="0" w:color="auto"/>
            </w:tcBorders>
            <w:shd w:val="clear" w:color="auto" w:fill="auto"/>
            <w:vAlign w:val="center"/>
            <w:hideMark/>
          </w:tcPr>
          <w:p w:rsidR="0005477C" w:rsidRPr="00920FD5" w:rsidRDefault="0005477C" w:rsidP="009465C0">
            <w:pPr>
              <w:spacing w:after="0" w:line="240" w:lineRule="auto"/>
              <w:jc w:val="center"/>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eastAsia="es-MX"/>
              </w:rPr>
              <w:t>3,723</w:t>
            </w:r>
          </w:p>
        </w:tc>
        <w:tc>
          <w:tcPr>
            <w:tcW w:w="0" w:type="auto"/>
            <w:tcBorders>
              <w:top w:val="nil"/>
              <w:left w:val="nil"/>
              <w:bottom w:val="single" w:sz="8" w:space="0" w:color="FFFFFF"/>
              <w:right w:val="single" w:sz="8" w:space="0" w:color="auto"/>
            </w:tcBorders>
            <w:shd w:val="clear" w:color="auto" w:fill="auto"/>
            <w:vAlign w:val="center"/>
            <w:hideMark/>
          </w:tcPr>
          <w:p w:rsidR="0005477C" w:rsidRPr="00920FD5" w:rsidRDefault="0005477C" w:rsidP="009465C0">
            <w:pPr>
              <w:spacing w:after="0" w:line="240" w:lineRule="auto"/>
              <w:jc w:val="center"/>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eastAsia="es-MX"/>
              </w:rPr>
              <w:t>2,950</w:t>
            </w:r>
          </w:p>
        </w:tc>
        <w:tc>
          <w:tcPr>
            <w:tcW w:w="0" w:type="auto"/>
            <w:tcBorders>
              <w:top w:val="nil"/>
              <w:left w:val="nil"/>
              <w:bottom w:val="single" w:sz="8" w:space="0" w:color="FFFFFF"/>
              <w:right w:val="single" w:sz="8" w:space="0" w:color="auto"/>
            </w:tcBorders>
            <w:shd w:val="clear" w:color="auto" w:fill="auto"/>
            <w:vAlign w:val="center"/>
            <w:hideMark/>
          </w:tcPr>
          <w:p w:rsidR="0005477C" w:rsidRPr="00920FD5" w:rsidRDefault="0005477C" w:rsidP="009465C0">
            <w:pPr>
              <w:spacing w:after="0" w:line="240" w:lineRule="auto"/>
              <w:jc w:val="center"/>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eastAsia="es-MX"/>
              </w:rPr>
              <w:t>6,673</w:t>
            </w:r>
          </w:p>
        </w:tc>
      </w:tr>
      <w:tr w:rsidR="0005477C" w:rsidRPr="00920FD5" w:rsidTr="00920FD5">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05477C" w:rsidRPr="00920FD5" w:rsidRDefault="0005477C" w:rsidP="00814C47">
            <w:pPr>
              <w:spacing w:after="0" w:line="240" w:lineRule="auto"/>
              <w:jc w:val="both"/>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val="es-AR" w:eastAsia="es-MX"/>
              </w:rPr>
              <w:t>JALISCO</w:t>
            </w:r>
          </w:p>
        </w:tc>
        <w:tc>
          <w:tcPr>
            <w:tcW w:w="0" w:type="auto"/>
            <w:tcBorders>
              <w:top w:val="nil"/>
              <w:left w:val="nil"/>
              <w:bottom w:val="single" w:sz="8" w:space="0" w:color="FFFFFF"/>
              <w:right w:val="single" w:sz="8" w:space="0" w:color="auto"/>
            </w:tcBorders>
            <w:shd w:val="clear" w:color="auto" w:fill="auto"/>
            <w:vAlign w:val="center"/>
            <w:hideMark/>
          </w:tcPr>
          <w:p w:rsidR="0005477C" w:rsidRPr="00920FD5" w:rsidRDefault="0005477C" w:rsidP="009465C0">
            <w:pPr>
              <w:spacing w:after="0" w:line="240" w:lineRule="auto"/>
              <w:jc w:val="center"/>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eastAsia="es-MX"/>
              </w:rPr>
              <w:t>3,171</w:t>
            </w:r>
          </w:p>
        </w:tc>
        <w:tc>
          <w:tcPr>
            <w:tcW w:w="0" w:type="auto"/>
            <w:tcBorders>
              <w:top w:val="nil"/>
              <w:left w:val="nil"/>
              <w:bottom w:val="single" w:sz="8" w:space="0" w:color="FFFFFF"/>
              <w:right w:val="single" w:sz="8" w:space="0" w:color="auto"/>
            </w:tcBorders>
            <w:shd w:val="clear" w:color="auto" w:fill="auto"/>
            <w:vAlign w:val="center"/>
            <w:hideMark/>
          </w:tcPr>
          <w:p w:rsidR="0005477C" w:rsidRPr="00920FD5" w:rsidRDefault="0005477C" w:rsidP="009465C0">
            <w:pPr>
              <w:spacing w:after="0" w:line="240" w:lineRule="auto"/>
              <w:jc w:val="center"/>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eastAsia="es-MX"/>
              </w:rPr>
              <w:t>3,177</w:t>
            </w:r>
          </w:p>
        </w:tc>
        <w:tc>
          <w:tcPr>
            <w:tcW w:w="0" w:type="auto"/>
            <w:tcBorders>
              <w:top w:val="nil"/>
              <w:left w:val="nil"/>
              <w:bottom w:val="single" w:sz="8" w:space="0" w:color="FFFFFF"/>
              <w:right w:val="single" w:sz="8" w:space="0" w:color="auto"/>
            </w:tcBorders>
            <w:shd w:val="clear" w:color="auto" w:fill="auto"/>
            <w:vAlign w:val="center"/>
            <w:hideMark/>
          </w:tcPr>
          <w:p w:rsidR="0005477C" w:rsidRPr="00920FD5" w:rsidRDefault="0005477C" w:rsidP="009465C0">
            <w:pPr>
              <w:spacing w:after="0" w:line="240" w:lineRule="auto"/>
              <w:jc w:val="center"/>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eastAsia="es-MX"/>
              </w:rPr>
              <w:t>6,348</w:t>
            </w:r>
          </w:p>
        </w:tc>
      </w:tr>
      <w:tr w:rsidR="0005477C" w:rsidRPr="00920FD5" w:rsidTr="00920FD5">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05477C" w:rsidRPr="00920FD5" w:rsidRDefault="0005477C" w:rsidP="00814C47">
            <w:pPr>
              <w:spacing w:after="0" w:line="240" w:lineRule="auto"/>
              <w:jc w:val="both"/>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val="es-AR" w:eastAsia="es-MX"/>
              </w:rPr>
              <w:t>NOROESTE</w:t>
            </w:r>
          </w:p>
        </w:tc>
        <w:tc>
          <w:tcPr>
            <w:tcW w:w="0" w:type="auto"/>
            <w:tcBorders>
              <w:top w:val="nil"/>
              <w:left w:val="nil"/>
              <w:bottom w:val="single" w:sz="8" w:space="0" w:color="FFFFFF"/>
              <w:right w:val="single" w:sz="8" w:space="0" w:color="auto"/>
            </w:tcBorders>
            <w:shd w:val="clear" w:color="auto" w:fill="auto"/>
            <w:vAlign w:val="center"/>
            <w:hideMark/>
          </w:tcPr>
          <w:p w:rsidR="0005477C" w:rsidRPr="00920FD5" w:rsidRDefault="0005477C" w:rsidP="009465C0">
            <w:pPr>
              <w:spacing w:after="0" w:line="240" w:lineRule="auto"/>
              <w:jc w:val="center"/>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eastAsia="es-MX"/>
              </w:rPr>
              <w:t>3,153</w:t>
            </w:r>
          </w:p>
        </w:tc>
        <w:tc>
          <w:tcPr>
            <w:tcW w:w="0" w:type="auto"/>
            <w:tcBorders>
              <w:top w:val="nil"/>
              <w:left w:val="nil"/>
              <w:bottom w:val="single" w:sz="8" w:space="0" w:color="FFFFFF"/>
              <w:right w:val="single" w:sz="8" w:space="0" w:color="auto"/>
            </w:tcBorders>
            <w:shd w:val="clear" w:color="auto" w:fill="auto"/>
            <w:vAlign w:val="center"/>
            <w:hideMark/>
          </w:tcPr>
          <w:p w:rsidR="0005477C" w:rsidRPr="00920FD5" w:rsidRDefault="0005477C" w:rsidP="009465C0">
            <w:pPr>
              <w:spacing w:after="0" w:line="240" w:lineRule="auto"/>
              <w:jc w:val="center"/>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eastAsia="es-MX"/>
              </w:rPr>
              <w:t>3,019</w:t>
            </w:r>
          </w:p>
        </w:tc>
        <w:tc>
          <w:tcPr>
            <w:tcW w:w="0" w:type="auto"/>
            <w:tcBorders>
              <w:top w:val="nil"/>
              <w:left w:val="nil"/>
              <w:bottom w:val="single" w:sz="8" w:space="0" w:color="FFFFFF"/>
              <w:right w:val="single" w:sz="8" w:space="0" w:color="auto"/>
            </w:tcBorders>
            <w:shd w:val="clear" w:color="auto" w:fill="auto"/>
            <w:vAlign w:val="center"/>
            <w:hideMark/>
          </w:tcPr>
          <w:p w:rsidR="0005477C" w:rsidRPr="00920FD5" w:rsidRDefault="0005477C" w:rsidP="009465C0">
            <w:pPr>
              <w:spacing w:after="0" w:line="240" w:lineRule="auto"/>
              <w:jc w:val="center"/>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eastAsia="es-MX"/>
              </w:rPr>
              <w:t>6,171</w:t>
            </w:r>
          </w:p>
        </w:tc>
      </w:tr>
      <w:tr w:rsidR="0005477C" w:rsidRPr="00920FD5" w:rsidTr="00920FD5">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05477C" w:rsidRPr="00920FD5" w:rsidRDefault="0005477C" w:rsidP="00814C47">
            <w:pPr>
              <w:spacing w:after="0" w:line="240" w:lineRule="auto"/>
              <w:jc w:val="both"/>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val="es-AR" w:eastAsia="es-MX"/>
              </w:rPr>
              <w:t>NORTE</w:t>
            </w:r>
          </w:p>
        </w:tc>
        <w:tc>
          <w:tcPr>
            <w:tcW w:w="0" w:type="auto"/>
            <w:tcBorders>
              <w:top w:val="nil"/>
              <w:left w:val="nil"/>
              <w:bottom w:val="single" w:sz="8" w:space="0" w:color="FFFFFF"/>
              <w:right w:val="single" w:sz="8" w:space="0" w:color="auto"/>
            </w:tcBorders>
            <w:shd w:val="clear" w:color="auto" w:fill="auto"/>
            <w:vAlign w:val="center"/>
            <w:hideMark/>
          </w:tcPr>
          <w:p w:rsidR="0005477C" w:rsidRPr="00920FD5" w:rsidRDefault="0005477C" w:rsidP="009465C0">
            <w:pPr>
              <w:spacing w:after="0" w:line="240" w:lineRule="auto"/>
              <w:jc w:val="center"/>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eastAsia="es-MX"/>
              </w:rPr>
              <w:t>4,691</w:t>
            </w:r>
          </w:p>
        </w:tc>
        <w:tc>
          <w:tcPr>
            <w:tcW w:w="0" w:type="auto"/>
            <w:tcBorders>
              <w:top w:val="nil"/>
              <w:left w:val="nil"/>
              <w:bottom w:val="single" w:sz="8" w:space="0" w:color="FFFFFF"/>
              <w:right w:val="single" w:sz="8" w:space="0" w:color="auto"/>
            </w:tcBorders>
            <w:shd w:val="clear" w:color="auto" w:fill="auto"/>
            <w:vAlign w:val="center"/>
            <w:hideMark/>
          </w:tcPr>
          <w:p w:rsidR="0005477C" w:rsidRPr="00920FD5" w:rsidRDefault="0005477C" w:rsidP="009465C0">
            <w:pPr>
              <w:spacing w:after="0" w:line="240" w:lineRule="auto"/>
              <w:jc w:val="center"/>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eastAsia="es-MX"/>
              </w:rPr>
              <w:t>3,057</w:t>
            </w:r>
          </w:p>
        </w:tc>
        <w:tc>
          <w:tcPr>
            <w:tcW w:w="0" w:type="auto"/>
            <w:tcBorders>
              <w:top w:val="nil"/>
              <w:left w:val="nil"/>
              <w:bottom w:val="single" w:sz="8" w:space="0" w:color="FFFFFF"/>
              <w:right w:val="single" w:sz="8" w:space="0" w:color="auto"/>
            </w:tcBorders>
            <w:shd w:val="clear" w:color="auto" w:fill="auto"/>
            <w:vAlign w:val="center"/>
            <w:hideMark/>
          </w:tcPr>
          <w:p w:rsidR="0005477C" w:rsidRPr="00920FD5" w:rsidRDefault="0005477C" w:rsidP="009465C0">
            <w:pPr>
              <w:spacing w:after="0" w:line="240" w:lineRule="auto"/>
              <w:jc w:val="center"/>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eastAsia="es-MX"/>
              </w:rPr>
              <w:t>7,748</w:t>
            </w:r>
          </w:p>
        </w:tc>
      </w:tr>
      <w:tr w:rsidR="0005477C" w:rsidRPr="00920FD5" w:rsidTr="00920FD5">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05477C" w:rsidRPr="00920FD5" w:rsidRDefault="0005477C" w:rsidP="00814C47">
            <w:pPr>
              <w:spacing w:after="0" w:line="240" w:lineRule="auto"/>
              <w:jc w:val="both"/>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val="es-AR" w:eastAsia="es-MX"/>
              </w:rPr>
              <w:t>SURESTE</w:t>
            </w:r>
          </w:p>
        </w:tc>
        <w:tc>
          <w:tcPr>
            <w:tcW w:w="0" w:type="auto"/>
            <w:tcBorders>
              <w:top w:val="nil"/>
              <w:left w:val="nil"/>
              <w:bottom w:val="single" w:sz="8" w:space="0" w:color="FFFFFF"/>
              <w:right w:val="single" w:sz="8" w:space="0" w:color="auto"/>
            </w:tcBorders>
            <w:shd w:val="clear" w:color="auto" w:fill="auto"/>
            <w:vAlign w:val="center"/>
            <w:hideMark/>
          </w:tcPr>
          <w:p w:rsidR="0005477C" w:rsidRPr="00920FD5" w:rsidRDefault="0005477C" w:rsidP="009465C0">
            <w:pPr>
              <w:spacing w:after="0" w:line="240" w:lineRule="auto"/>
              <w:jc w:val="center"/>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eastAsia="es-MX"/>
              </w:rPr>
              <w:t>4,194</w:t>
            </w:r>
          </w:p>
        </w:tc>
        <w:tc>
          <w:tcPr>
            <w:tcW w:w="0" w:type="auto"/>
            <w:tcBorders>
              <w:top w:val="nil"/>
              <w:left w:val="nil"/>
              <w:bottom w:val="single" w:sz="8" w:space="0" w:color="FFFFFF"/>
              <w:right w:val="single" w:sz="8" w:space="0" w:color="auto"/>
            </w:tcBorders>
            <w:shd w:val="clear" w:color="auto" w:fill="auto"/>
            <w:vAlign w:val="center"/>
            <w:hideMark/>
          </w:tcPr>
          <w:p w:rsidR="0005477C" w:rsidRPr="00920FD5" w:rsidRDefault="0005477C" w:rsidP="009465C0">
            <w:pPr>
              <w:spacing w:after="0" w:line="240" w:lineRule="auto"/>
              <w:jc w:val="center"/>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eastAsia="es-MX"/>
              </w:rPr>
              <w:t>3,079</w:t>
            </w:r>
          </w:p>
        </w:tc>
        <w:tc>
          <w:tcPr>
            <w:tcW w:w="0" w:type="auto"/>
            <w:tcBorders>
              <w:top w:val="nil"/>
              <w:left w:val="nil"/>
              <w:bottom w:val="single" w:sz="8" w:space="0" w:color="FFFFFF"/>
              <w:right w:val="single" w:sz="8" w:space="0" w:color="auto"/>
            </w:tcBorders>
            <w:shd w:val="clear" w:color="auto" w:fill="auto"/>
            <w:vAlign w:val="center"/>
            <w:hideMark/>
          </w:tcPr>
          <w:p w:rsidR="0005477C" w:rsidRPr="00920FD5" w:rsidRDefault="0005477C" w:rsidP="009465C0">
            <w:pPr>
              <w:spacing w:after="0" w:line="240" w:lineRule="auto"/>
              <w:jc w:val="center"/>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eastAsia="es-MX"/>
              </w:rPr>
              <w:t>7,273</w:t>
            </w:r>
          </w:p>
        </w:tc>
      </w:tr>
      <w:tr w:rsidR="0005477C" w:rsidRPr="00920FD5" w:rsidTr="00920FD5">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05477C" w:rsidRPr="00920FD5" w:rsidRDefault="0005477C" w:rsidP="00814C47">
            <w:pPr>
              <w:spacing w:after="0" w:line="240" w:lineRule="auto"/>
              <w:jc w:val="both"/>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val="es-AR" w:eastAsia="es-MX"/>
              </w:rPr>
              <w:t>PENINSULAR</w:t>
            </w:r>
          </w:p>
        </w:tc>
        <w:tc>
          <w:tcPr>
            <w:tcW w:w="0" w:type="auto"/>
            <w:tcBorders>
              <w:top w:val="nil"/>
              <w:left w:val="nil"/>
              <w:bottom w:val="single" w:sz="8" w:space="0" w:color="FFFFFF"/>
              <w:right w:val="single" w:sz="8" w:space="0" w:color="auto"/>
            </w:tcBorders>
            <w:shd w:val="clear" w:color="auto" w:fill="auto"/>
            <w:vAlign w:val="center"/>
            <w:hideMark/>
          </w:tcPr>
          <w:p w:rsidR="0005477C" w:rsidRPr="00920FD5" w:rsidRDefault="0005477C" w:rsidP="009465C0">
            <w:pPr>
              <w:spacing w:after="0" w:line="240" w:lineRule="auto"/>
              <w:jc w:val="center"/>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eastAsia="es-MX"/>
              </w:rPr>
              <w:t>2,196</w:t>
            </w:r>
          </w:p>
        </w:tc>
        <w:tc>
          <w:tcPr>
            <w:tcW w:w="0" w:type="auto"/>
            <w:tcBorders>
              <w:top w:val="nil"/>
              <w:left w:val="nil"/>
              <w:bottom w:val="single" w:sz="8" w:space="0" w:color="FFFFFF"/>
              <w:right w:val="single" w:sz="8" w:space="0" w:color="auto"/>
            </w:tcBorders>
            <w:shd w:val="clear" w:color="auto" w:fill="auto"/>
            <w:vAlign w:val="center"/>
            <w:hideMark/>
          </w:tcPr>
          <w:p w:rsidR="0005477C" w:rsidRPr="00920FD5" w:rsidRDefault="0005477C" w:rsidP="009465C0">
            <w:pPr>
              <w:spacing w:after="0" w:line="240" w:lineRule="auto"/>
              <w:jc w:val="center"/>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eastAsia="es-MX"/>
              </w:rPr>
              <w:t>1,792</w:t>
            </w:r>
          </w:p>
        </w:tc>
        <w:tc>
          <w:tcPr>
            <w:tcW w:w="0" w:type="auto"/>
            <w:tcBorders>
              <w:top w:val="nil"/>
              <w:left w:val="nil"/>
              <w:bottom w:val="single" w:sz="8" w:space="0" w:color="FFFFFF"/>
              <w:right w:val="single" w:sz="8" w:space="0" w:color="auto"/>
            </w:tcBorders>
            <w:shd w:val="clear" w:color="auto" w:fill="auto"/>
            <w:vAlign w:val="center"/>
            <w:hideMark/>
          </w:tcPr>
          <w:p w:rsidR="0005477C" w:rsidRPr="00920FD5" w:rsidRDefault="0005477C" w:rsidP="009465C0">
            <w:pPr>
              <w:spacing w:after="0" w:line="240" w:lineRule="auto"/>
              <w:jc w:val="center"/>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eastAsia="es-MX"/>
              </w:rPr>
              <w:t>3,988</w:t>
            </w:r>
          </w:p>
        </w:tc>
      </w:tr>
      <w:tr w:rsidR="0005477C" w:rsidRPr="00920FD5" w:rsidTr="00920FD5">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05477C" w:rsidRPr="00920FD5" w:rsidRDefault="0005477C" w:rsidP="00814C47">
            <w:pPr>
              <w:spacing w:after="0" w:line="240" w:lineRule="auto"/>
              <w:jc w:val="both"/>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val="es-AR" w:eastAsia="es-MX"/>
              </w:rPr>
              <w:t>ORIENTE</w:t>
            </w:r>
          </w:p>
        </w:tc>
        <w:tc>
          <w:tcPr>
            <w:tcW w:w="0" w:type="auto"/>
            <w:tcBorders>
              <w:top w:val="nil"/>
              <w:left w:val="nil"/>
              <w:bottom w:val="single" w:sz="8" w:space="0" w:color="FFFFFF"/>
              <w:right w:val="single" w:sz="8" w:space="0" w:color="auto"/>
            </w:tcBorders>
            <w:shd w:val="clear" w:color="auto" w:fill="auto"/>
            <w:vAlign w:val="center"/>
            <w:hideMark/>
          </w:tcPr>
          <w:p w:rsidR="0005477C" w:rsidRPr="00920FD5" w:rsidRDefault="0005477C" w:rsidP="009465C0">
            <w:pPr>
              <w:spacing w:after="0" w:line="240" w:lineRule="auto"/>
              <w:jc w:val="center"/>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eastAsia="es-MX"/>
              </w:rPr>
              <w:t>3,189</w:t>
            </w:r>
          </w:p>
        </w:tc>
        <w:tc>
          <w:tcPr>
            <w:tcW w:w="0" w:type="auto"/>
            <w:tcBorders>
              <w:top w:val="nil"/>
              <w:left w:val="nil"/>
              <w:bottom w:val="single" w:sz="8" w:space="0" w:color="FFFFFF"/>
              <w:right w:val="single" w:sz="8" w:space="0" w:color="auto"/>
            </w:tcBorders>
            <w:shd w:val="clear" w:color="auto" w:fill="auto"/>
            <w:vAlign w:val="center"/>
            <w:hideMark/>
          </w:tcPr>
          <w:p w:rsidR="0005477C" w:rsidRPr="00920FD5" w:rsidRDefault="0005477C" w:rsidP="009465C0">
            <w:pPr>
              <w:spacing w:after="0" w:line="240" w:lineRule="auto"/>
              <w:jc w:val="center"/>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eastAsia="es-MX"/>
              </w:rPr>
              <w:t>3,818</w:t>
            </w:r>
          </w:p>
        </w:tc>
        <w:tc>
          <w:tcPr>
            <w:tcW w:w="0" w:type="auto"/>
            <w:tcBorders>
              <w:top w:val="nil"/>
              <w:left w:val="nil"/>
              <w:bottom w:val="single" w:sz="8" w:space="0" w:color="FFFFFF"/>
              <w:right w:val="single" w:sz="8" w:space="0" w:color="auto"/>
            </w:tcBorders>
            <w:shd w:val="clear" w:color="auto" w:fill="auto"/>
            <w:vAlign w:val="center"/>
            <w:hideMark/>
          </w:tcPr>
          <w:p w:rsidR="0005477C" w:rsidRPr="00920FD5" w:rsidRDefault="0005477C" w:rsidP="009465C0">
            <w:pPr>
              <w:spacing w:after="0" w:line="240" w:lineRule="auto"/>
              <w:jc w:val="center"/>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eastAsia="es-MX"/>
              </w:rPr>
              <w:t>7,007</w:t>
            </w:r>
          </w:p>
        </w:tc>
      </w:tr>
      <w:tr w:rsidR="0005477C" w:rsidRPr="00920FD5" w:rsidTr="00920FD5">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05477C" w:rsidRPr="00920FD5" w:rsidRDefault="0005477C" w:rsidP="00814C47">
            <w:pPr>
              <w:spacing w:after="0" w:line="240" w:lineRule="auto"/>
              <w:jc w:val="both"/>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val="es-AR" w:eastAsia="es-MX"/>
              </w:rPr>
              <w:t>GOLFO CENTRO</w:t>
            </w:r>
          </w:p>
        </w:tc>
        <w:tc>
          <w:tcPr>
            <w:tcW w:w="0" w:type="auto"/>
            <w:tcBorders>
              <w:top w:val="nil"/>
              <w:left w:val="nil"/>
              <w:bottom w:val="single" w:sz="8" w:space="0" w:color="FFFFFF"/>
              <w:right w:val="single" w:sz="8" w:space="0" w:color="auto"/>
            </w:tcBorders>
            <w:shd w:val="clear" w:color="auto" w:fill="auto"/>
            <w:vAlign w:val="center"/>
            <w:hideMark/>
          </w:tcPr>
          <w:p w:rsidR="0005477C" w:rsidRPr="00920FD5" w:rsidRDefault="0005477C" w:rsidP="009465C0">
            <w:pPr>
              <w:spacing w:after="0" w:line="240" w:lineRule="auto"/>
              <w:jc w:val="center"/>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eastAsia="es-MX"/>
              </w:rPr>
              <w:t>1,756</w:t>
            </w:r>
          </w:p>
        </w:tc>
        <w:tc>
          <w:tcPr>
            <w:tcW w:w="0" w:type="auto"/>
            <w:tcBorders>
              <w:top w:val="nil"/>
              <w:left w:val="nil"/>
              <w:bottom w:val="single" w:sz="8" w:space="0" w:color="FFFFFF"/>
              <w:right w:val="single" w:sz="8" w:space="0" w:color="auto"/>
            </w:tcBorders>
            <w:shd w:val="clear" w:color="auto" w:fill="auto"/>
            <w:vAlign w:val="center"/>
            <w:hideMark/>
          </w:tcPr>
          <w:p w:rsidR="0005477C" w:rsidRPr="00920FD5" w:rsidRDefault="0005477C" w:rsidP="009465C0">
            <w:pPr>
              <w:spacing w:after="0" w:line="240" w:lineRule="auto"/>
              <w:jc w:val="center"/>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eastAsia="es-MX"/>
              </w:rPr>
              <w:t>1,771</w:t>
            </w:r>
          </w:p>
        </w:tc>
        <w:tc>
          <w:tcPr>
            <w:tcW w:w="0" w:type="auto"/>
            <w:tcBorders>
              <w:top w:val="nil"/>
              <w:left w:val="nil"/>
              <w:bottom w:val="single" w:sz="8" w:space="0" w:color="FFFFFF"/>
              <w:right w:val="single" w:sz="8" w:space="0" w:color="auto"/>
            </w:tcBorders>
            <w:shd w:val="clear" w:color="auto" w:fill="auto"/>
            <w:vAlign w:val="center"/>
            <w:hideMark/>
          </w:tcPr>
          <w:p w:rsidR="0005477C" w:rsidRPr="00920FD5" w:rsidRDefault="0005477C" w:rsidP="009465C0">
            <w:pPr>
              <w:spacing w:after="0" w:line="240" w:lineRule="auto"/>
              <w:jc w:val="center"/>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eastAsia="es-MX"/>
              </w:rPr>
              <w:t>3,527</w:t>
            </w:r>
          </w:p>
        </w:tc>
      </w:tr>
      <w:tr w:rsidR="0005477C" w:rsidRPr="00920FD5" w:rsidTr="00920FD5">
        <w:trPr>
          <w:trHeight w:val="20"/>
          <w:jc w:val="center"/>
        </w:trPr>
        <w:tc>
          <w:tcPr>
            <w:tcW w:w="0" w:type="auto"/>
            <w:tcBorders>
              <w:top w:val="nil"/>
              <w:left w:val="single" w:sz="8" w:space="0" w:color="auto"/>
              <w:bottom w:val="nil"/>
              <w:right w:val="single" w:sz="8" w:space="0" w:color="auto"/>
            </w:tcBorders>
            <w:shd w:val="clear" w:color="auto" w:fill="auto"/>
            <w:vAlign w:val="center"/>
            <w:hideMark/>
          </w:tcPr>
          <w:p w:rsidR="0005477C" w:rsidRPr="00920FD5" w:rsidRDefault="0005477C" w:rsidP="00814C47">
            <w:pPr>
              <w:spacing w:after="0" w:line="240" w:lineRule="auto"/>
              <w:jc w:val="both"/>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val="es-AR" w:eastAsia="es-MX"/>
              </w:rPr>
              <w:t>VALLE MEXICO NTE</w:t>
            </w:r>
          </w:p>
        </w:tc>
        <w:tc>
          <w:tcPr>
            <w:tcW w:w="0" w:type="auto"/>
            <w:tcBorders>
              <w:top w:val="nil"/>
              <w:left w:val="nil"/>
              <w:bottom w:val="nil"/>
              <w:right w:val="single" w:sz="8" w:space="0" w:color="auto"/>
            </w:tcBorders>
            <w:shd w:val="clear" w:color="auto" w:fill="auto"/>
            <w:vAlign w:val="center"/>
            <w:hideMark/>
          </w:tcPr>
          <w:p w:rsidR="0005477C" w:rsidRPr="00920FD5" w:rsidRDefault="0005477C" w:rsidP="009465C0">
            <w:pPr>
              <w:spacing w:after="0" w:line="240" w:lineRule="auto"/>
              <w:jc w:val="center"/>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eastAsia="es-MX"/>
              </w:rPr>
              <w:t>2,306</w:t>
            </w:r>
          </w:p>
        </w:tc>
        <w:tc>
          <w:tcPr>
            <w:tcW w:w="0" w:type="auto"/>
            <w:tcBorders>
              <w:top w:val="nil"/>
              <w:left w:val="nil"/>
              <w:bottom w:val="nil"/>
              <w:right w:val="single" w:sz="8" w:space="0" w:color="auto"/>
            </w:tcBorders>
            <w:shd w:val="clear" w:color="auto" w:fill="auto"/>
            <w:vAlign w:val="center"/>
            <w:hideMark/>
          </w:tcPr>
          <w:p w:rsidR="0005477C" w:rsidRPr="00920FD5" w:rsidRDefault="0005477C" w:rsidP="009465C0">
            <w:pPr>
              <w:spacing w:after="0" w:line="240" w:lineRule="auto"/>
              <w:jc w:val="center"/>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eastAsia="es-MX"/>
              </w:rPr>
              <w:t>2,227</w:t>
            </w:r>
          </w:p>
        </w:tc>
        <w:tc>
          <w:tcPr>
            <w:tcW w:w="0" w:type="auto"/>
            <w:tcBorders>
              <w:top w:val="nil"/>
              <w:left w:val="nil"/>
              <w:bottom w:val="nil"/>
              <w:right w:val="single" w:sz="8" w:space="0" w:color="auto"/>
            </w:tcBorders>
            <w:shd w:val="clear" w:color="auto" w:fill="auto"/>
            <w:vAlign w:val="center"/>
            <w:hideMark/>
          </w:tcPr>
          <w:p w:rsidR="0005477C" w:rsidRPr="00920FD5" w:rsidRDefault="0005477C" w:rsidP="009465C0">
            <w:pPr>
              <w:spacing w:after="0" w:line="240" w:lineRule="auto"/>
              <w:jc w:val="center"/>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eastAsia="es-MX"/>
              </w:rPr>
              <w:t>4,533</w:t>
            </w:r>
          </w:p>
        </w:tc>
      </w:tr>
      <w:tr w:rsidR="0005477C" w:rsidRPr="00920FD5" w:rsidTr="00920FD5">
        <w:trPr>
          <w:trHeight w:val="20"/>
          <w:jc w:val="center"/>
        </w:trPr>
        <w:tc>
          <w:tcPr>
            <w:tcW w:w="0" w:type="auto"/>
            <w:tcBorders>
              <w:top w:val="nil"/>
              <w:left w:val="single" w:sz="8" w:space="0" w:color="auto"/>
              <w:bottom w:val="nil"/>
              <w:right w:val="single" w:sz="8" w:space="0" w:color="auto"/>
            </w:tcBorders>
            <w:shd w:val="clear" w:color="auto" w:fill="auto"/>
            <w:vAlign w:val="center"/>
            <w:hideMark/>
          </w:tcPr>
          <w:p w:rsidR="0005477C" w:rsidRPr="00920FD5" w:rsidRDefault="0005477C" w:rsidP="00814C47">
            <w:pPr>
              <w:spacing w:after="0" w:line="240" w:lineRule="auto"/>
              <w:jc w:val="both"/>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eastAsia="es-MX"/>
              </w:rPr>
              <w:t>VALLE MEXICO CENT</w:t>
            </w:r>
          </w:p>
        </w:tc>
        <w:tc>
          <w:tcPr>
            <w:tcW w:w="0" w:type="auto"/>
            <w:tcBorders>
              <w:top w:val="nil"/>
              <w:left w:val="nil"/>
              <w:bottom w:val="nil"/>
              <w:right w:val="single" w:sz="8" w:space="0" w:color="auto"/>
            </w:tcBorders>
            <w:shd w:val="clear" w:color="auto" w:fill="auto"/>
            <w:vAlign w:val="center"/>
            <w:hideMark/>
          </w:tcPr>
          <w:p w:rsidR="0005477C" w:rsidRPr="00920FD5" w:rsidRDefault="0005477C" w:rsidP="009465C0">
            <w:pPr>
              <w:spacing w:after="0" w:line="240" w:lineRule="auto"/>
              <w:jc w:val="center"/>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eastAsia="es-MX"/>
              </w:rPr>
              <w:t>1,926</w:t>
            </w:r>
          </w:p>
        </w:tc>
        <w:tc>
          <w:tcPr>
            <w:tcW w:w="0" w:type="auto"/>
            <w:tcBorders>
              <w:top w:val="nil"/>
              <w:left w:val="nil"/>
              <w:bottom w:val="nil"/>
              <w:right w:val="single" w:sz="8" w:space="0" w:color="auto"/>
            </w:tcBorders>
            <w:shd w:val="clear" w:color="auto" w:fill="auto"/>
            <w:vAlign w:val="center"/>
            <w:hideMark/>
          </w:tcPr>
          <w:p w:rsidR="0005477C" w:rsidRPr="00920FD5" w:rsidRDefault="0005477C" w:rsidP="009465C0">
            <w:pPr>
              <w:spacing w:after="0" w:line="240" w:lineRule="auto"/>
              <w:jc w:val="center"/>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eastAsia="es-MX"/>
              </w:rPr>
              <w:t>1,315</w:t>
            </w:r>
          </w:p>
        </w:tc>
        <w:tc>
          <w:tcPr>
            <w:tcW w:w="0" w:type="auto"/>
            <w:tcBorders>
              <w:top w:val="nil"/>
              <w:left w:val="nil"/>
              <w:bottom w:val="nil"/>
              <w:right w:val="single" w:sz="8" w:space="0" w:color="auto"/>
            </w:tcBorders>
            <w:shd w:val="clear" w:color="auto" w:fill="auto"/>
            <w:vAlign w:val="center"/>
            <w:hideMark/>
          </w:tcPr>
          <w:p w:rsidR="0005477C" w:rsidRPr="00920FD5" w:rsidRDefault="0005477C" w:rsidP="009465C0">
            <w:pPr>
              <w:spacing w:after="0" w:line="240" w:lineRule="auto"/>
              <w:jc w:val="center"/>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eastAsia="es-MX"/>
              </w:rPr>
              <w:t>3,240</w:t>
            </w:r>
          </w:p>
        </w:tc>
      </w:tr>
      <w:tr w:rsidR="0005477C" w:rsidRPr="00920FD5" w:rsidTr="00920FD5">
        <w:trPr>
          <w:trHeight w:val="20"/>
          <w:jc w:val="center"/>
        </w:trPr>
        <w:tc>
          <w:tcPr>
            <w:tcW w:w="0" w:type="auto"/>
            <w:tcBorders>
              <w:top w:val="nil"/>
              <w:left w:val="single" w:sz="8" w:space="0" w:color="auto"/>
              <w:bottom w:val="nil"/>
              <w:right w:val="single" w:sz="8" w:space="0" w:color="auto"/>
            </w:tcBorders>
            <w:shd w:val="clear" w:color="auto" w:fill="auto"/>
            <w:vAlign w:val="center"/>
            <w:hideMark/>
          </w:tcPr>
          <w:p w:rsidR="0005477C" w:rsidRPr="00920FD5" w:rsidRDefault="0005477C" w:rsidP="00814C47">
            <w:pPr>
              <w:spacing w:after="0" w:line="240" w:lineRule="auto"/>
              <w:jc w:val="both"/>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eastAsia="es-MX"/>
              </w:rPr>
              <w:t>VALLE MEXICO SUR</w:t>
            </w:r>
          </w:p>
        </w:tc>
        <w:tc>
          <w:tcPr>
            <w:tcW w:w="0" w:type="auto"/>
            <w:tcBorders>
              <w:top w:val="nil"/>
              <w:left w:val="nil"/>
              <w:bottom w:val="nil"/>
              <w:right w:val="single" w:sz="8" w:space="0" w:color="auto"/>
            </w:tcBorders>
            <w:shd w:val="clear" w:color="auto" w:fill="auto"/>
            <w:vAlign w:val="center"/>
            <w:hideMark/>
          </w:tcPr>
          <w:p w:rsidR="0005477C" w:rsidRPr="00920FD5" w:rsidRDefault="0005477C" w:rsidP="009465C0">
            <w:pPr>
              <w:spacing w:after="0" w:line="240" w:lineRule="auto"/>
              <w:jc w:val="center"/>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eastAsia="es-MX"/>
              </w:rPr>
              <w:t>2,601</w:t>
            </w:r>
          </w:p>
        </w:tc>
        <w:tc>
          <w:tcPr>
            <w:tcW w:w="0" w:type="auto"/>
            <w:tcBorders>
              <w:top w:val="nil"/>
              <w:left w:val="nil"/>
              <w:bottom w:val="nil"/>
              <w:right w:val="single" w:sz="8" w:space="0" w:color="auto"/>
            </w:tcBorders>
            <w:shd w:val="clear" w:color="auto" w:fill="auto"/>
            <w:vAlign w:val="center"/>
            <w:hideMark/>
          </w:tcPr>
          <w:p w:rsidR="0005477C" w:rsidRPr="00920FD5" w:rsidRDefault="0005477C" w:rsidP="009465C0">
            <w:pPr>
              <w:spacing w:after="0" w:line="240" w:lineRule="auto"/>
              <w:jc w:val="center"/>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eastAsia="es-MX"/>
              </w:rPr>
              <w:t>1,700</w:t>
            </w:r>
          </w:p>
        </w:tc>
        <w:tc>
          <w:tcPr>
            <w:tcW w:w="0" w:type="auto"/>
            <w:tcBorders>
              <w:top w:val="nil"/>
              <w:left w:val="nil"/>
              <w:bottom w:val="nil"/>
              <w:right w:val="single" w:sz="8" w:space="0" w:color="auto"/>
            </w:tcBorders>
            <w:shd w:val="clear" w:color="auto" w:fill="auto"/>
            <w:vAlign w:val="center"/>
            <w:hideMark/>
          </w:tcPr>
          <w:p w:rsidR="0005477C" w:rsidRPr="00920FD5" w:rsidRDefault="0005477C" w:rsidP="009465C0">
            <w:pPr>
              <w:spacing w:after="0" w:line="240" w:lineRule="auto"/>
              <w:jc w:val="center"/>
              <w:rPr>
                <w:rFonts w:ascii="Arial Narrow" w:eastAsia="Times New Roman" w:hAnsi="Arial Narrow" w:cs="Times New Roman"/>
                <w:sz w:val="18"/>
                <w:szCs w:val="18"/>
                <w:lang w:eastAsia="es-MX"/>
              </w:rPr>
            </w:pPr>
            <w:r w:rsidRPr="00920FD5">
              <w:rPr>
                <w:rFonts w:ascii="Arial Narrow" w:eastAsia="Times New Roman" w:hAnsi="Arial Narrow" w:cs="Times New Roman"/>
                <w:sz w:val="18"/>
                <w:szCs w:val="18"/>
                <w:lang w:eastAsia="es-MX"/>
              </w:rPr>
              <w:t>4,301</w:t>
            </w:r>
          </w:p>
        </w:tc>
      </w:tr>
      <w:tr w:rsidR="0005477C" w:rsidRPr="00920FD5" w:rsidTr="00920FD5">
        <w:trPr>
          <w:trHeight w:val="2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05477C" w:rsidRPr="00920FD5" w:rsidRDefault="0005477C" w:rsidP="00814C47">
            <w:pPr>
              <w:spacing w:after="0" w:line="240" w:lineRule="auto"/>
              <w:jc w:val="both"/>
              <w:rPr>
                <w:rFonts w:ascii="Arial Narrow" w:eastAsia="Times New Roman" w:hAnsi="Arial Narrow" w:cs="Times New Roman"/>
                <w:b/>
                <w:bCs/>
                <w:color w:val="000000"/>
                <w:sz w:val="18"/>
                <w:szCs w:val="18"/>
                <w:lang w:eastAsia="es-MX"/>
              </w:rPr>
            </w:pPr>
            <w:r w:rsidRPr="00920FD5">
              <w:rPr>
                <w:rFonts w:ascii="Arial Narrow" w:eastAsia="Times New Roman" w:hAnsi="Arial Narrow" w:cs="Times New Roman"/>
                <w:b/>
                <w:bCs/>
                <w:color w:val="000000"/>
                <w:sz w:val="18"/>
                <w:szCs w:val="18"/>
                <w:lang w:val="es-AR" w:eastAsia="es-MX"/>
              </w:rPr>
              <w:t>TOTAL</w:t>
            </w:r>
          </w:p>
        </w:tc>
        <w:tc>
          <w:tcPr>
            <w:tcW w:w="0" w:type="auto"/>
            <w:tcBorders>
              <w:top w:val="nil"/>
              <w:left w:val="nil"/>
              <w:bottom w:val="single" w:sz="8" w:space="0" w:color="auto"/>
              <w:right w:val="single" w:sz="8" w:space="0" w:color="auto"/>
            </w:tcBorders>
            <w:shd w:val="clear" w:color="auto" w:fill="auto"/>
            <w:vAlign w:val="center"/>
            <w:hideMark/>
          </w:tcPr>
          <w:p w:rsidR="0005477C" w:rsidRPr="00920FD5" w:rsidRDefault="0005477C" w:rsidP="009465C0">
            <w:pPr>
              <w:spacing w:after="0" w:line="240" w:lineRule="auto"/>
              <w:jc w:val="center"/>
              <w:rPr>
                <w:rFonts w:ascii="Arial Narrow" w:eastAsia="Times New Roman" w:hAnsi="Arial Narrow" w:cs="Times New Roman"/>
                <w:b/>
                <w:bCs/>
                <w:color w:val="000000"/>
                <w:sz w:val="18"/>
                <w:szCs w:val="18"/>
                <w:lang w:eastAsia="es-MX"/>
              </w:rPr>
            </w:pPr>
            <w:r w:rsidRPr="00920FD5">
              <w:rPr>
                <w:rFonts w:ascii="Arial Narrow" w:eastAsia="Times New Roman" w:hAnsi="Arial Narrow" w:cs="Times New Roman"/>
                <w:b/>
                <w:bCs/>
                <w:color w:val="000000"/>
                <w:sz w:val="18"/>
                <w:szCs w:val="18"/>
                <w:lang w:eastAsia="es-MX"/>
              </w:rPr>
              <w:t>47,204</w:t>
            </w:r>
          </w:p>
        </w:tc>
        <w:tc>
          <w:tcPr>
            <w:tcW w:w="0" w:type="auto"/>
            <w:tcBorders>
              <w:top w:val="nil"/>
              <w:left w:val="nil"/>
              <w:bottom w:val="single" w:sz="8" w:space="0" w:color="auto"/>
              <w:right w:val="single" w:sz="8" w:space="0" w:color="auto"/>
            </w:tcBorders>
            <w:shd w:val="clear" w:color="auto" w:fill="auto"/>
            <w:vAlign w:val="center"/>
            <w:hideMark/>
          </w:tcPr>
          <w:p w:rsidR="0005477C" w:rsidRPr="00920FD5" w:rsidRDefault="0005477C" w:rsidP="009465C0">
            <w:pPr>
              <w:spacing w:after="0" w:line="240" w:lineRule="auto"/>
              <w:jc w:val="center"/>
              <w:rPr>
                <w:rFonts w:ascii="Arial Narrow" w:eastAsia="Times New Roman" w:hAnsi="Arial Narrow" w:cs="Times New Roman"/>
                <w:b/>
                <w:bCs/>
                <w:color w:val="000000"/>
                <w:sz w:val="18"/>
                <w:szCs w:val="18"/>
                <w:lang w:eastAsia="es-MX"/>
              </w:rPr>
            </w:pPr>
            <w:r w:rsidRPr="00920FD5">
              <w:rPr>
                <w:rFonts w:ascii="Arial Narrow" w:eastAsia="Times New Roman" w:hAnsi="Arial Narrow" w:cs="Times New Roman"/>
                <w:b/>
                <w:bCs/>
                <w:color w:val="000000"/>
                <w:sz w:val="18"/>
                <w:szCs w:val="18"/>
                <w:lang w:eastAsia="es-MX"/>
              </w:rPr>
              <w:t>42,895</w:t>
            </w:r>
          </w:p>
        </w:tc>
        <w:tc>
          <w:tcPr>
            <w:tcW w:w="0" w:type="auto"/>
            <w:tcBorders>
              <w:top w:val="nil"/>
              <w:left w:val="nil"/>
              <w:bottom w:val="single" w:sz="8" w:space="0" w:color="auto"/>
              <w:right w:val="single" w:sz="8" w:space="0" w:color="auto"/>
            </w:tcBorders>
            <w:shd w:val="clear" w:color="auto" w:fill="auto"/>
            <w:vAlign w:val="center"/>
            <w:hideMark/>
          </w:tcPr>
          <w:p w:rsidR="0005477C" w:rsidRPr="00920FD5" w:rsidRDefault="0005477C" w:rsidP="009465C0">
            <w:pPr>
              <w:spacing w:after="0" w:line="240" w:lineRule="auto"/>
              <w:jc w:val="center"/>
              <w:rPr>
                <w:rFonts w:ascii="Arial Narrow" w:eastAsia="Times New Roman" w:hAnsi="Arial Narrow" w:cs="Times New Roman"/>
                <w:b/>
                <w:bCs/>
                <w:color w:val="000000"/>
                <w:sz w:val="18"/>
                <w:szCs w:val="18"/>
                <w:lang w:eastAsia="es-MX"/>
              </w:rPr>
            </w:pPr>
            <w:r w:rsidRPr="00920FD5">
              <w:rPr>
                <w:rFonts w:ascii="Arial Narrow" w:eastAsia="Times New Roman" w:hAnsi="Arial Narrow" w:cs="Times New Roman"/>
                <w:b/>
                <w:bCs/>
                <w:color w:val="000000"/>
                <w:sz w:val="18"/>
                <w:szCs w:val="18"/>
                <w:lang w:eastAsia="es-MX"/>
              </w:rPr>
              <w:t>90,099</w:t>
            </w:r>
          </w:p>
        </w:tc>
      </w:tr>
    </w:tbl>
    <w:p w:rsidR="005F7A3C" w:rsidRPr="00814C47" w:rsidRDefault="005F7A3C" w:rsidP="00814C47">
      <w:pPr>
        <w:spacing w:after="200" w:line="240" w:lineRule="auto"/>
        <w:contextualSpacing/>
        <w:jc w:val="both"/>
        <w:rPr>
          <w:rFonts w:ascii="Arial Narrow" w:eastAsiaTheme="minorEastAsia" w:hAnsi="Arial Narrow" w:cs="Helvetica"/>
          <w:color w:val="000000"/>
          <w:lang w:val="es-UY" w:eastAsia="es-MX"/>
        </w:rPr>
      </w:pPr>
    </w:p>
    <w:p w:rsidR="00AF2F0E" w:rsidRDefault="00AF2F0E" w:rsidP="00AF2F0E">
      <w:pPr>
        <w:pStyle w:val="Prrafodelista"/>
        <w:keepNext/>
        <w:keepLines/>
        <w:numPr>
          <w:ilvl w:val="0"/>
          <w:numId w:val="15"/>
        </w:numPr>
        <w:spacing w:after="0" w:line="240" w:lineRule="auto"/>
        <w:jc w:val="both"/>
        <w:outlineLvl w:val="0"/>
        <w:rPr>
          <w:rFonts w:ascii="Arial Narrow" w:eastAsiaTheme="majorEastAsia" w:hAnsi="Arial Narrow" w:cstheme="majorBidi"/>
          <w:b/>
          <w:bCs/>
          <w:color w:val="000000" w:themeColor="text1"/>
        </w:rPr>
      </w:pPr>
      <w:r>
        <w:rPr>
          <w:rFonts w:ascii="Arial Narrow" w:eastAsiaTheme="majorEastAsia" w:hAnsi="Arial Narrow" w:cstheme="majorBidi"/>
          <w:b/>
          <w:bCs/>
          <w:color w:val="000000" w:themeColor="text1"/>
        </w:rPr>
        <w:t>Diseño Tarifario</w:t>
      </w:r>
    </w:p>
    <w:p w:rsidR="00AF2F0E" w:rsidRPr="00AF2F0E" w:rsidRDefault="00681FCD" w:rsidP="00AF2F0E">
      <w:pPr>
        <w:spacing w:after="0"/>
      </w:pPr>
      <w:r w:rsidRPr="00AF2F0E">
        <w:t xml:space="preserve"> </w:t>
      </w:r>
    </w:p>
    <w:p w:rsidR="006B40BB" w:rsidRPr="00AF79A3" w:rsidRDefault="00681FCD" w:rsidP="00AF79A3">
      <w:pPr>
        <w:pStyle w:val="Prrafodelista"/>
        <w:keepNext/>
        <w:keepLines/>
        <w:numPr>
          <w:ilvl w:val="1"/>
          <w:numId w:val="15"/>
        </w:numPr>
        <w:spacing w:after="0" w:line="240" w:lineRule="auto"/>
        <w:ind w:left="360"/>
        <w:jc w:val="both"/>
        <w:outlineLvl w:val="0"/>
        <w:rPr>
          <w:rFonts w:ascii="Arial Narrow" w:eastAsiaTheme="majorEastAsia" w:hAnsi="Arial Narrow" w:cstheme="majorBidi"/>
          <w:b/>
          <w:bCs/>
          <w:color w:val="000000" w:themeColor="text1"/>
        </w:rPr>
      </w:pPr>
      <w:r w:rsidRPr="00AF2F0E">
        <w:rPr>
          <w:rFonts w:ascii="Arial Narrow" w:eastAsiaTheme="majorEastAsia" w:hAnsi="Arial Narrow" w:cstheme="majorBidi"/>
          <w:b/>
          <w:bCs/>
          <w:color w:val="000000" w:themeColor="text1"/>
        </w:rPr>
        <w:t xml:space="preserve">Simplificación del cuadro tarifario </w:t>
      </w:r>
    </w:p>
    <w:p w:rsidR="00837AAF" w:rsidRPr="00814C47" w:rsidRDefault="00930799" w:rsidP="00814C47">
      <w:pPr>
        <w:spacing w:after="200" w:line="240" w:lineRule="auto"/>
        <w:contextualSpacing/>
        <w:jc w:val="both"/>
        <w:rPr>
          <w:rFonts w:ascii="Arial Narrow" w:hAnsi="Arial Narrow" w:cs="Arial"/>
        </w:rPr>
      </w:pPr>
      <w:r w:rsidRPr="00814C47">
        <w:rPr>
          <w:rFonts w:ascii="Arial Narrow" w:hAnsi="Arial Narrow"/>
        </w:rPr>
        <w:t>A partir del análisis de las mediciones efectuadas durante el desarrollo del Estudio de Carga elaborado en el marco del Estudio Integral de Tarifas llevado a cabo en el año 2010, se propusieron categorías de usuarios teóricas, y se determinaron para dichas categorías, cargos tarifarios base de Distribución. Dichos cargos tarifarios, aplicados al mercado de referencia del año 2014, permiten recuperar los costos de Distribución.</w:t>
      </w:r>
      <w:r w:rsidRPr="00814C47">
        <w:rPr>
          <w:rFonts w:ascii="Arial Narrow" w:hAnsi="Arial Narrow" w:cs="Arial"/>
        </w:rPr>
        <w:t xml:space="preserve"> S</w:t>
      </w:r>
      <w:r w:rsidR="00837AAF" w:rsidRPr="00814C47">
        <w:rPr>
          <w:rFonts w:ascii="Arial Narrow" w:hAnsi="Arial Narrow" w:cs="Arial"/>
        </w:rPr>
        <w:t>e consideran los siguientes grupos tarifarios</w:t>
      </w:r>
      <w:r w:rsidR="00260865">
        <w:rPr>
          <w:rFonts w:ascii="Arial Narrow" w:hAnsi="Arial Narrow" w:cs="Arial"/>
        </w:rPr>
        <w:t>:</w:t>
      </w:r>
    </w:p>
    <w:p w:rsidR="0005477C" w:rsidRPr="00814C47" w:rsidRDefault="001726B6" w:rsidP="0036279F">
      <w:pPr>
        <w:pStyle w:val="Prrafodelista"/>
        <w:numPr>
          <w:ilvl w:val="0"/>
          <w:numId w:val="5"/>
        </w:numPr>
        <w:spacing w:after="0" w:line="240" w:lineRule="auto"/>
        <w:contextualSpacing w:val="0"/>
        <w:jc w:val="both"/>
        <w:rPr>
          <w:rFonts w:ascii="Arial Narrow" w:hAnsi="Arial Narrow"/>
        </w:rPr>
      </w:pPr>
      <w:r>
        <w:rPr>
          <w:rFonts w:ascii="Arial Narrow" w:hAnsi="Arial Narrow"/>
        </w:rPr>
        <w:t>Baja</w:t>
      </w:r>
      <w:r w:rsidR="0005477C" w:rsidRPr="00814C47">
        <w:rPr>
          <w:rFonts w:ascii="Arial Narrow" w:hAnsi="Arial Narrow"/>
        </w:rPr>
        <w:t xml:space="preserve"> tensión:</w:t>
      </w:r>
    </w:p>
    <w:p w:rsidR="0005477C" w:rsidRPr="00814C47" w:rsidRDefault="0005477C" w:rsidP="0036279F">
      <w:pPr>
        <w:pStyle w:val="Prrafodelista"/>
        <w:numPr>
          <w:ilvl w:val="1"/>
          <w:numId w:val="11"/>
        </w:numPr>
        <w:spacing w:after="0" w:line="240" w:lineRule="auto"/>
        <w:contextualSpacing w:val="0"/>
        <w:jc w:val="both"/>
        <w:rPr>
          <w:rFonts w:ascii="Arial Narrow" w:hAnsi="Arial Narrow"/>
        </w:rPr>
      </w:pPr>
      <w:r w:rsidRPr="00814C47">
        <w:rPr>
          <w:rFonts w:ascii="Arial Narrow" w:hAnsi="Arial Narrow"/>
        </w:rPr>
        <w:t>Domiciliario (DB)</w:t>
      </w:r>
    </w:p>
    <w:p w:rsidR="0005477C" w:rsidRPr="00814C47" w:rsidRDefault="0005477C" w:rsidP="0036279F">
      <w:pPr>
        <w:pStyle w:val="Prrafodelista"/>
        <w:numPr>
          <w:ilvl w:val="2"/>
          <w:numId w:val="10"/>
        </w:numPr>
        <w:spacing w:after="0" w:line="240" w:lineRule="auto"/>
        <w:contextualSpacing w:val="0"/>
        <w:jc w:val="both"/>
        <w:rPr>
          <w:rFonts w:ascii="Arial Narrow" w:hAnsi="Arial Narrow"/>
        </w:rPr>
      </w:pPr>
      <w:r w:rsidRPr="00814C47">
        <w:rPr>
          <w:rFonts w:ascii="Arial Narrow" w:hAnsi="Arial Narrow"/>
        </w:rPr>
        <w:t>DB1 con consumos menores o iguales a 250 kWh-mes</w:t>
      </w:r>
    </w:p>
    <w:p w:rsidR="0005477C" w:rsidRPr="00814C47" w:rsidRDefault="0005477C" w:rsidP="0036279F">
      <w:pPr>
        <w:pStyle w:val="Prrafodelista"/>
        <w:numPr>
          <w:ilvl w:val="2"/>
          <w:numId w:val="10"/>
        </w:numPr>
        <w:spacing w:after="0" w:line="240" w:lineRule="auto"/>
        <w:contextualSpacing w:val="0"/>
        <w:jc w:val="both"/>
        <w:rPr>
          <w:rFonts w:ascii="Arial Narrow" w:hAnsi="Arial Narrow"/>
        </w:rPr>
      </w:pPr>
      <w:r w:rsidRPr="00814C47">
        <w:rPr>
          <w:rFonts w:ascii="Arial Narrow" w:hAnsi="Arial Narrow"/>
        </w:rPr>
        <w:t>DB2 con consumos mayores a 250 kWh-mes</w:t>
      </w:r>
    </w:p>
    <w:p w:rsidR="0005477C" w:rsidRPr="001726B6" w:rsidRDefault="0005477C" w:rsidP="0036279F">
      <w:pPr>
        <w:pStyle w:val="Prrafodelista"/>
        <w:numPr>
          <w:ilvl w:val="1"/>
          <w:numId w:val="11"/>
        </w:numPr>
        <w:spacing w:after="0" w:line="240" w:lineRule="auto"/>
        <w:contextualSpacing w:val="0"/>
        <w:jc w:val="both"/>
        <w:rPr>
          <w:rFonts w:ascii="Arial Narrow" w:hAnsi="Arial Narrow"/>
        </w:rPr>
      </w:pPr>
      <w:r w:rsidRPr="00814C47">
        <w:rPr>
          <w:rFonts w:ascii="Arial Narrow" w:hAnsi="Arial Narrow"/>
        </w:rPr>
        <w:t xml:space="preserve">General </w:t>
      </w:r>
      <w:r w:rsidR="001726B6">
        <w:rPr>
          <w:rFonts w:ascii="Arial Narrow" w:hAnsi="Arial Narrow"/>
        </w:rPr>
        <w:t>PDBT Pequeña demanda con capacidad hasta 25 kW</w:t>
      </w:r>
      <w:r w:rsidR="001726B6" w:rsidRPr="001726B6">
        <w:rPr>
          <w:rFonts w:ascii="Arial Narrow" w:hAnsi="Arial Narrow"/>
        </w:rPr>
        <w:t>.</w:t>
      </w:r>
    </w:p>
    <w:p w:rsidR="0005477C" w:rsidRPr="00814C47" w:rsidRDefault="0005477C" w:rsidP="0036279F">
      <w:pPr>
        <w:pStyle w:val="Prrafodelista"/>
        <w:numPr>
          <w:ilvl w:val="1"/>
          <w:numId w:val="11"/>
        </w:numPr>
        <w:spacing w:after="0" w:line="240" w:lineRule="auto"/>
        <w:contextualSpacing w:val="0"/>
        <w:jc w:val="both"/>
        <w:rPr>
          <w:rFonts w:ascii="Arial Narrow" w:hAnsi="Arial Narrow"/>
        </w:rPr>
      </w:pPr>
      <w:r w:rsidRPr="00814C47">
        <w:rPr>
          <w:rFonts w:ascii="Arial Narrow" w:hAnsi="Arial Narrow"/>
        </w:rPr>
        <w:t>Gran demanda (GDBT)</w:t>
      </w:r>
      <w:r w:rsidR="001726B6">
        <w:rPr>
          <w:rFonts w:ascii="Arial Narrow" w:hAnsi="Arial Narrow"/>
        </w:rPr>
        <w:t xml:space="preserve"> con capacidad mayor a 25 kW.</w:t>
      </w:r>
    </w:p>
    <w:p w:rsidR="0005477C" w:rsidRPr="00814C47" w:rsidRDefault="0005477C" w:rsidP="0036279F">
      <w:pPr>
        <w:pStyle w:val="Prrafodelista"/>
        <w:numPr>
          <w:ilvl w:val="0"/>
          <w:numId w:val="5"/>
        </w:numPr>
        <w:spacing w:after="0" w:line="240" w:lineRule="auto"/>
        <w:contextualSpacing w:val="0"/>
        <w:jc w:val="both"/>
        <w:rPr>
          <w:rFonts w:ascii="Arial Narrow" w:hAnsi="Arial Narrow"/>
        </w:rPr>
      </w:pPr>
      <w:r w:rsidRPr="00814C47">
        <w:rPr>
          <w:rFonts w:ascii="Arial Narrow" w:hAnsi="Arial Narrow"/>
        </w:rPr>
        <w:t>Media Tensión:</w:t>
      </w:r>
    </w:p>
    <w:p w:rsidR="0005477C" w:rsidRPr="00814C47" w:rsidRDefault="0005477C" w:rsidP="0036279F">
      <w:pPr>
        <w:pStyle w:val="Prrafodelista"/>
        <w:numPr>
          <w:ilvl w:val="1"/>
          <w:numId w:val="11"/>
        </w:numPr>
        <w:spacing w:after="0" w:line="240" w:lineRule="auto"/>
        <w:contextualSpacing w:val="0"/>
        <w:jc w:val="both"/>
        <w:rPr>
          <w:rFonts w:ascii="Arial Narrow" w:hAnsi="Arial Narrow"/>
        </w:rPr>
      </w:pPr>
      <w:r w:rsidRPr="00814C47">
        <w:rPr>
          <w:rFonts w:ascii="Arial Narrow" w:hAnsi="Arial Narrow"/>
        </w:rPr>
        <w:t>Gran demanda (GDMT)</w:t>
      </w:r>
    </w:p>
    <w:p w:rsidR="0005477C" w:rsidRPr="00814C47" w:rsidRDefault="0005477C" w:rsidP="00814C47">
      <w:pPr>
        <w:spacing w:after="200" w:line="240" w:lineRule="auto"/>
        <w:contextualSpacing/>
        <w:jc w:val="both"/>
        <w:rPr>
          <w:rFonts w:ascii="Arial Narrow" w:hAnsi="Arial Narrow" w:cs="Arial"/>
        </w:rPr>
      </w:pPr>
    </w:p>
    <w:p w:rsidR="00577C8D" w:rsidRDefault="00930799" w:rsidP="00814C47">
      <w:pPr>
        <w:spacing w:after="200" w:line="240" w:lineRule="auto"/>
        <w:contextualSpacing/>
        <w:jc w:val="both"/>
        <w:rPr>
          <w:rFonts w:ascii="Arial Narrow" w:hAnsi="Arial Narrow" w:cs="Arial"/>
        </w:rPr>
      </w:pPr>
      <w:r w:rsidRPr="00814C47">
        <w:rPr>
          <w:rFonts w:ascii="Arial Narrow" w:hAnsi="Arial Narrow" w:cs="Arial"/>
        </w:rPr>
        <w:t>La siguiente tab</w:t>
      </w:r>
      <w:r w:rsidR="00E60502" w:rsidRPr="00814C47">
        <w:rPr>
          <w:rFonts w:ascii="Arial Narrow" w:hAnsi="Arial Narrow" w:cs="Arial"/>
        </w:rPr>
        <w:t xml:space="preserve">la muestra la equivalencia del cuadro tarifario simplificado con el cuadro tarifario vigente. Es importante mencionar que la tarifa de distribución solo toma en cuenta usuarios en media y baja tensión ya que las redes de alta tensión </w:t>
      </w:r>
      <w:r w:rsidR="00AF2F0E">
        <w:rPr>
          <w:rFonts w:ascii="Arial Narrow" w:hAnsi="Arial Narrow" w:cs="Arial"/>
        </w:rPr>
        <w:t>son del servicio de T</w:t>
      </w:r>
      <w:r w:rsidR="00E60502" w:rsidRPr="00814C47">
        <w:rPr>
          <w:rFonts w:ascii="Arial Narrow" w:hAnsi="Arial Narrow" w:cs="Arial"/>
        </w:rPr>
        <w:t>ransmisión.</w:t>
      </w:r>
      <w:r w:rsidR="00AF2F0E">
        <w:rPr>
          <w:rFonts w:ascii="Arial Narrow" w:hAnsi="Arial Narrow" w:cs="Arial"/>
        </w:rPr>
        <w:t xml:space="preserve"> </w:t>
      </w:r>
    </w:p>
    <w:p w:rsidR="00260865" w:rsidRDefault="00260865" w:rsidP="00814C47">
      <w:pPr>
        <w:spacing w:after="200" w:line="240" w:lineRule="auto"/>
        <w:contextualSpacing/>
        <w:jc w:val="both"/>
        <w:rPr>
          <w:rFonts w:ascii="Arial Narrow" w:hAnsi="Arial Narrow" w:cs="Arial"/>
        </w:rPr>
      </w:pPr>
    </w:p>
    <w:p w:rsidR="00260865" w:rsidRDefault="00260865" w:rsidP="00814C47">
      <w:pPr>
        <w:spacing w:after="200" w:line="240" w:lineRule="auto"/>
        <w:contextualSpacing/>
        <w:jc w:val="both"/>
        <w:rPr>
          <w:rFonts w:ascii="Arial Narrow" w:hAnsi="Arial Narrow" w:cs="Arial"/>
        </w:rPr>
      </w:pPr>
    </w:p>
    <w:p w:rsidR="00260865" w:rsidRDefault="00260865" w:rsidP="00814C47">
      <w:pPr>
        <w:spacing w:after="200" w:line="240" w:lineRule="auto"/>
        <w:contextualSpacing/>
        <w:jc w:val="both"/>
        <w:rPr>
          <w:rFonts w:ascii="Arial Narrow" w:hAnsi="Arial Narrow" w:cs="Arial"/>
        </w:rPr>
      </w:pPr>
    </w:p>
    <w:p w:rsidR="00260865" w:rsidRDefault="00260865" w:rsidP="00814C47">
      <w:pPr>
        <w:spacing w:after="200" w:line="240" w:lineRule="auto"/>
        <w:contextualSpacing/>
        <w:jc w:val="both"/>
        <w:rPr>
          <w:rFonts w:ascii="Arial Narrow" w:hAnsi="Arial Narrow" w:cs="Arial"/>
        </w:rPr>
      </w:pPr>
    </w:p>
    <w:p w:rsidR="00260865" w:rsidRDefault="00260865" w:rsidP="00814C47">
      <w:pPr>
        <w:spacing w:after="200" w:line="240" w:lineRule="auto"/>
        <w:contextualSpacing/>
        <w:jc w:val="both"/>
        <w:rPr>
          <w:rFonts w:ascii="Arial Narrow" w:hAnsi="Arial Narrow" w:cs="Arial"/>
        </w:rPr>
      </w:pPr>
    </w:p>
    <w:p w:rsidR="00260865" w:rsidRDefault="00260865" w:rsidP="00814C47">
      <w:pPr>
        <w:spacing w:after="200" w:line="240" w:lineRule="auto"/>
        <w:contextualSpacing/>
        <w:jc w:val="both"/>
        <w:rPr>
          <w:rFonts w:ascii="Arial Narrow" w:hAnsi="Arial Narrow" w:cs="Arial"/>
        </w:rPr>
      </w:pPr>
    </w:p>
    <w:p w:rsidR="0016333E" w:rsidRDefault="0016333E" w:rsidP="00814C47">
      <w:pPr>
        <w:spacing w:after="200" w:line="240" w:lineRule="auto"/>
        <w:contextualSpacing/>
        <w:jc w:val="both"/>
        <w:rPr>
          <w:rFonts w:ascii="Arial Narrow" w:hAnsi="Arial Narrow" w:cs="Arial"/>
        </w:rPr>
      </w:pPr>
    </w:p>
    <w:p w:rsidR="0016333E" w:rsidRDefault="0016333E" w:rsidP="00814C47">
      <w:pPr>
        <w:spacing w:after="200" w:line="240" w:lineRule="auto"/>
        <w:contextualSpacing/>
        <w:jc w:val="both"/>
        <w:rPr>
          <w:rFonts w:ascii="Arial Narrow" w:hAnsi="Arial Narrow" w:cs="Arial"/>
        </w:rPr>
      </w:pPr>
    </w:p>
    <w:p w:rsidR="00260865" w:rsidRDefault="00260865" w:rsidP="00814C47">
      <w:pPr>
        <w:spacing w:after="200" w:line="240" w:lineRule="auto"/>
        <w:contextualSpacing/>
        <w:jc w:val="both"/>
        <w:rPr>
          <w:rFonts w:ascii="Arial Narrow" w:hAnsi="Arial Narrow" w:cs="Arial"/>
        </w:rPr>
      </w:pPr>
    </w:p>
    <w:p w:rsidR="00577C8D" w:rsidRPr="00814C47" w:rsidRDefault="00577C8D" w:rsidP="00814C47">
      <w:pPr>
        <w:spacing w:after="200" w:line="240" w:lineRule="auto"/>
        <w:contextualSpacing/>
        <w:jc w:val="both"/>
        <w:rPr>
          <w:rFonts w:ascii="Arial Narrow" w:hAnsi="Arial Narrow" w:cs="Arial"/>
        </w:rPr>
      </w:pPr>
    </w:p>
    <w:tbl>
      <w:tblPr>
        <w:tblpPr w:leftFromText="141" w:rightFromText="141" w:vertAnchor="text" w:horzAnchor="margin" w:tblpXSpec="center" w:tblpY="352"/>
        <w:tblW w:w="2972" w:type="dxa"/>
        <w:tblCellMar>
          <w:left w:w="0" w:type="dxa"/>
          <w:right w:w="0" w:type="dxa"/>
        </w:tblCellMar>
        <w:tblLook w:val="0600" w:firstRow="0" w:lastRow="0" w:firstColumn="0" w:lastColumn="0" w:noHBand="1" w:noVBand="1"/>
      </w:tblPr>
      <w:tblGrid>
        <w:gridCol w:w="1161"/>
        <w:gridCol w:w="1811"/>
      </w:tblGrid>
      <w:tr w:rsidR="00681FCD" w:rsidRPr="00AF2F0E" w:rsidTr="00AF2F0E">
        <w:trPr>
          <w:trHeight w:val="18"/>
        </w:trPr>
        <w:tc>
          <w:tcPr>
            <w:tcW w:w="1161" w:type="dxa"/>
            <w:tcBorders>
              <w:top w:val="single" w:sz="4" w:space="0" w:color="auto"/>
              <w:left w:val="single" w:sz="4" w:space="0" w:color="auto"/>
              <w:bottom w:val="single" w:sz="4" w:space="0" w:color="auto"/>
              <w:right w:val="single" w:sz="4" w:space="0" w:color="auto"/>
            </w:tcBorders>
            <w:shd w:val="clear" w:color="auto" w:fill="365F91" w:themeFill="accent1" w:themeFillShade="BF"/>
            <w:tcMar>
              <w:top w:w="15" w:type="dxa"/>
              <w:left w:w="15" w:type="dxa"/>
              <w:bottom w:w="0" w:type="dxa"/>
              <w:right w:w="15" w:type="dxa"/>
            </w:tcMar>
            <w:vAlign w:val="center"/>
            <w:hideMark/>
          </w:tcPr>
          <w:p w:rsidR="00681FCD" w:rsidRPr="00AF2F0E" w:rsidRDefault="00681FCD" w:rsidP="00AF2F0E">
            <w:pPr>
              <w:spacing w:after="0" w:line="240" w:lineRule="auto"/>
              <w:jc w:val="center"/>
              <w:rPr>
                <w:rFonts w:ascii="Arial Narrow" w:eastAsia="Calibri" w:hAnsi="Arial Narrow" w:cs="Times New Roman"/>
                <w:b/>
                <w:color w:val="FFFFFF"/>
                <w:sz w:val="18"/>
                <w:szCs w:val="18"/>
              </w:rPr>
            </w:pPr>
            <w:r w:rsidRPr="00AF2F0E">
              <w:rPr>
                <w:rFonts w:ascii="Arial Narrow" w:eastAsia="Calibri" w:hAnsi="Arial Narrow" w:cs="Times New Roman"/>
                <w:b/>
                <w:color w:val="FFFFFF"/>
                <w:sz w:val="18"/>
                <w:szCs w:val="18"/>
              </w:rPr>
              <w:lastRenderedPageBreak/>
              <w:t>Cuadro tarifario Vigente</w:t>
            </w:r>
          </w:p>
        </w:tc>
        <w:tc>
          <w:tcPr>
            <w:tcW w:w="1811" w:type="dxa"/>
            <w:tcBorders>
              <w:top w:val="single" w:sz="4" w:space="0" w:color="auto"/>
              <w:left w:val="single" w:sz="4" w:space="0" w:color="auto"/>
              <w:right w:val="single" w:sz="4" w:space="0" w:color="auto"/>
            </w:tcBorders>
            <w:shd w:val="clear" w:color="auto" w:fill="365F91" w:themeFill="accent1" w:themeFillShade="BF"/>
            <w:tcMar>
              <w:top w:w="15" w:type="dxa"/>
              <w:left w:w="15" w:type="dxa"/>
              <w:bottom w:w="0" w:type="dxa"/>
              <w:right w:w="15" w:type="dxa"/>
            </w:tcMar>
            <w:vAlign w:val="center"/>
            <w:hideMark/>
          </w:tcPr>
          <w:p w:rsidR="00681FCD" w:rsidRPr="00AF2F0E" w:rsidRDefault="00681FCD" w:rsidP="00AF2F0E">
            <w:pPr>
              <w:spacing w:after="0" w:line="240" w:lineRule="auto"/>
              <w:jc w:val="center"/>
              <w:rPr>
                <w:rFonts w:ascii="Arial Narrow" w:eastAsia="Calibri" w:hAnsi="Arial Narrow" w:cs="Times New Roman"/>
                <w:color w:val="FFFFFF"/>
                <w:sz w:val="18"/>
                <w:szCs w:val="18"/>
              </w:rPr>
            </w:pPr>
            <w:r w:rsidRPr="00AF2F0E">
              <w:rPr>
                <w:rFonts w:ascii="Arial Narrow" w:eastAsia="Calibri" w:hAnsi="Arial Narrow" w:cs="Times New Roman"/>
                <w:b/>
                <w:bCs/>
                <w:color w:val="FFFFFF"/>
                <w:sz w:val="18"/>
                <w:szCs w:val="18"/>
              </w:rPr>
              <w:t>Cuadro tarifario simplificado</w:t>
            </w:r>
          </w:p>
        </w:tc>
      </w:tr>
      <w:tr w:rsidR="00681FCD" w:rsidRPr="00AF2F0E" w:rsidTr="00510E2A">
        <w:trPr>
          <w:trHeight w:val="18"/>
        </w:trPr>
        <w:tc>
          <w:tcPr>
            <w:tcW w:w="1161" w:type="dxa"/>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hideMark/>
          </w:tcPr>
          <w:p w:rsidR="00681FCD" w:rsidRPr="00AF2F0E" w:rsidRDefault="00681FCD" w:rsidP="00AF2F0E">
            <w:pPr>
              <w:spacing w:after="0" w:line="240" w:lineRule="auto"/>
              <w:jc w:val="center"/>
              <w:rPr>
                <w:rFonts w:ascii="Arial Narrow" w:eastAsia="Times New Roman" w:hAnsi="Arial Narrow" w:cs="Times New Roman"/>
                <w:color w:val="000000"/>
                <w:sz w:val="18"/>
                <w:szCs w:val="18"/>
                <w:lang w:val="es-AR" w:eastAsia="es-AR"/>
              </w:rPr>
            </w:pPr>
            <w:r w:rsidRPr="00AF2F0E">
              <w:rPr>
                <w:rFonts w:ascii="Arial Narrow" w:eastAsia="Times New Roman" w:hAnsi="Arial Narrow" w:cs="Times New Roman"/>
                <w:color w:val="000000"/>
                <w:sz w:val="18"/>
                <w:szCs w:val="18"/>
                <w:lang w:val="es-AR" w:eastAsia="es-AR"/>
              </w:rPr>
              <w:t>Tarifa 1</w:t>
            </w:r>
          </w:p>
        </w:tc>
        <w:tc>
          <w:tcPr>
            <w:tcW w:w="1811" w:type="dxa"/>
            <w:tcBorders>
              <w:top w:val="nil"/>
              <w:left w:val="single" w:sz="4" w:space="0" w:color="auto"/>
              <w:right w:val="single" w:sz="4" w:space="0" w:color="auto"/>
            </w:tcBorders>
            <w:shd w:val="clear" w:color="auto" w:fill="auto"/>
            <w:tcMar>
              <w:top w:w="15" w:type="dxa"/>
              <w:left w:w="15" w:type="dxa"/>
              <w:bottom w:w="0" w:type="dxa"/>
              <w:right w:w="15" w:type="dxa"/>
            </w:tcMar>
            <w:vAlign w:val="center"/>
            <w:hideMark/>
          </w:tcPr>
          <w:p w:rsidR="00681FCD" w:rsidRPr="00AF2F0E" w:rsidRDefault="00681FCD" w:rsidP="00AF2F0E">
            <w:pPr>
              <w:spacing w:after="0" w:line="240" w:lineRule="auto"/>
              <w:jc w:val="center"/>
              <w:rPr>
                <w:rFonts w:ascii="Arial Narrow" w:eastAsia="Times New Roman" w:hAnsi="Arial Narrow" w:cs="Times New Roman"/>
                <w:color w:val="000000"/>
                <w:sz w:val="18"/>
                <w:szCs w:val="18"/>
                <w:lang w:val="es-AR" w:eastAsia="es-AR"/>
              </w:rPr>
            </w:pPr>
            <w:r w:rsidRPr="00AF2F0E">
              <w:rPr>
                <w:rFonts w:ascii="Arial Narrow" w:eastAsia="Times New Roman" w:hAnsi="Arial Narrow" w:cs="Times New Roman"/>
                <w:color w:val="000000"/>
                <w:sz w:val="18"/>
                <w:szCs w:val="18"/>
                <w:lang w:val="es-AR" w:eastAsia="es-AR"/>
              </w:rPr>
              <w:t>DB1/DB2</w:t>
            </w:r>
          </w:p>
        </w:tc>
      </w:tr>
      <w:tr w:rsidR="00681FCD" w:rsidRPr="00AF2F0E" w:rsidTr="00510E2A">
        <w:trPr>
          <w:trHeight w:val="18"/>
        </w:trPr>
        <w:tc>
          <w:tcPr>
            <w:tcW w:w="1161" w:type="dxa"/>
            <w:tcBorders>
              <w:top w:val="nil"/>
              <w:left w:val="single" w:sz="4" w:space="0" w:color="auto"/>
              <w:right w:val="single" w:sz="4" w:space="0" w:color="auto"/>
            </w:tcBorders>
            <w:shd w:val="clear" w:color="auto" w:fill="auto"/>
            <w:tcMar>
              <w:top w:w="15" w:type="dxa"/>
              <w:left w:w="15" w:type="dxa"/>
              <w:bottom w:w="0" w:type="dxa"/>
              <w:right w:w="15" w:type="dxa"/>
            </w:tcMar>
            <w:vAlign w:val="center"/>
          </w:tcPr>
          <w:p w:rsidR="00681FCD" w:rsidRPr="00AF2F0E" w:rsidRDefault="00681FCD" w:rsidP="00AF2F0E">
            <w:pPr>
              <w:spacing w:after="0" w:line="240" w:lineRule="auto"/>
              <w:jc w:val="center"/>
              <w:rPr>
                <w:rFonts w:ascii="Arial Narrow" w:eastAsia="Times New Roman" w:hAnsi="Arial Narrow" w:cs="Times New Roman"/>
                <w:color w:val="000000"/>
                <w:sz w:val="18"/>
                <w:szCs w:val="18"/>
                <w:lang w:val="es-AR" w:eastAsia="es-AR"/>
              </w:rPr>
            </w:pPr>
            <w:r w:rsidRPr="00AF2F0E">
              <w:rPr>
                <w:rFonts w:ascii="Arial Narrow" w:eastAsia="Times New Roman" w:hAnsi="Arial Narrow" w:cs="Times New Roman"/>
                <w:color w:val="000000"/>
                <w:sz w:val="18"/>
                <w:szCs w:val="18"/>
                <w:lang w:val="es-AR" w:eastAsia="es-AR"/>
              </w:rPr>
              <w:t>Tarifa 1A</w:t>
            </w:r>
          </w:p>
        </w:tc>
        <w:tc>
          <w:tcPr>
            <w:tcW w:w="1811" w:type="dxa"/>
            <w:tcBorders>
              <w:top w:val="nil"/>
              <w:left w:val="single" w:sz="4" w:space="0" w:color="auto"/>
              <w:right w:val="single" w:sz="4" w:space="0" w:color="auto"/>
            </w:tcBorders>
            <w:shd w:val="clear" w:color="auto" w:fill="auto"/>
            <w:tcMar>
              <w:top w:w="15" w:type="dxa"/>
              <w:left w:w="15" w:type="dxa"/>
              <w:bottom w:w="0" w:type="dxa"/>
              <w:right w:w="15" w:type="dxa"/>
            </w:tcMar>
            <w:vAlign w:val="center"/>
          </w:tcPr>
          <w:p w:rsidR="00681FCD" w:rsidRPr="00AF2F0E" w:rsidRDefault="00681FCD" w:rsidP="00AF2F0E">
            <w:pPr>
              <w:spacing w:after="0" w:line="240" w:lineRule="auto"/>
              <w:jc w:val="center"/>
              <w:rPr>
                <w:rFonts w:ascii="Arial Narrow" w:eastAsia="Times New Roman" w:hAnsi="Arial Narrow" w:cs="Times New Roman"/>
                <w:color w:val="000000"/>
                <w:sz w:val="18"/>
                <w:szCs w:val="18"/>
                <w:lang w:val="es-AR" w:eastAsia="es-AR"/>
              </w:rPr>
            </w:pPr>
            <w:r w:rsidRPr="00AF2F0E">
              <w:rPr>
                <w:rFonts w:ascii="Arial Narrow" w:eastAsia="Times New Roman" w:hAnsi="Arial Narrow" w:cs="Times New Roman"/>
                <w:color w:val="000000"/>
                <w:sz w:val="18"/>
                <w:szCs w:val="18"/>
                <w:lang w:val="es-AR" w:eastAsia="es-AR"/>
              </w:rPr>
              <w:t>DB1</w:t>
            </w:r>
          </w:p>
        </w:tc>
      </w:tr>
      <w:tr w:rsidR="00681FCD" w:rsidRPr="00AF2F0E" w:rsidTr="00510E2A">
        <w:trPr>
          <w:trHeight w:val="18"/>
        </w:trPr>
        <w:tc>
          <w:tcPr>
            <w:tcW w:w="1161" w:type="dxa"/>
            <w:tcBorders>
              <w:top w:val="nil"/>
              <w:left w:val="single" w:sz="4" w:space="0" w:color="auto"/>
              <w:right w:val="single" w:sz="4" w:space="0" w:color="auto"/>
            </w:tcBorders>
            <w:shd w:val="clear" w:color="auto" w:fill="auto"/>
            <w:tcMar>
              <w:top w:w="15" w:type="dxa"/>
              <w:left w:w="15" w:type="dxa"/>
              <w:bottom w:w="0" w:type="dxa"/>
              <w:right w:w="15" w:type="dxa"/>
            </w:tcMar>
            <w:vAlign w:val="center"/>
          </w:tcPr>
          <w:p w:rsidR="00681FCD" w:rsidRPr="00AF2F0E" w:rsidRDefault="00681FCD" w:rsidP="00AF2F0E">
            <w:pPr>
              <w:spacing w:after="0" w:line="240" w:lineRule="auto"/>
              <w:jc w:val="center"/>
              <w:rPr>
                <w:rFonts w:ascii="Arial Narrow" w:eastAsia="Times New Roman" w:hAnsi="Arial Narrow" w:cs="Times New Roman"/>
                <w:color w:val="000000"/>
                <w:sz w:val="18"/>
                <w:szCs w:val="18"/>
                <w:lang w:val="es-AR" w:eastAsia="es-AR"/>
              </w:rPr>
            </w:pPr>
            <w:r w:rsidRPr="00AF2F0E">
              <w:rPr>
                <w:rFonts w:ascii="Arial Narrow" w:eastAsia="Times New Roman" w:hAnsi="Arial Narrow" w:cs="Times New Roman"/>
                <w:color w:val="000000"/>
                <w:sz w:val="18"/>
                <w:szCs w:val="18"/>
                <w:lang w:val="es-AR" w:eastAsia="es-AR"/>
              </w:rPr>
              <w:t>Tarifa 1B</w:t>
            </w:r>
          </w:p>
        </w:tc>
        <w:tc>
          <w:tcPr>
            <w:tcW w:w="1811" w:type="dxa"/>
            <w:tcBorders>
              <w:top w:val="nil"/>
              <w:left w:val="single" w:sz="4" w:space="0" w:color="auto"/>
              <w:right w:val="single" w:sz="4" w:space="0" w:color="auto"/>
            </w:tcBorders>
            <w:shd w:val="clear" w:color="auto" w:fill="auto"/>
            <w:tcMar>
              <w:top w:w="15" w:type="dxa"/>
              <w:left w:w="15" w:type="dxa"/>
              <w:bottom w:w="0" w:type="dxa"/>
              <w:right w:w="15" w:type="dxa"/>
            </w:tcMar>
            <w:vAlign w:val="center"/>
          </w:tcPr>
          <w:p w:rsidR="00681FCD" w:rsidRPr="00AF2F0E" w:rsidRDefault="00681FCD" w:rsidP="00AF2F0E">
            <w:pPr>
              <w:spacing w:after="0" w:line="240" w:lineRule="auto"/>
              <w:jc w:val="center"/>
              <w:rPr>
                <w:rFonts w:ascii="Arial Narrow" w:eastAsia="Times New Roman" w:hAnsi="Arial Narrow" w:cs="Times New Roman"/>
                <w:color w:val="000000"/>
                <w:sz w:val="18"/>
                <w:szCs w:val="18"/>
                <w:lang w:val="es-AR" w:eastAsia="es-AR"/>
              </w:rPr>
            </w:pPr>
            <w:r w:rsidRPr="00AF2F0E">
              <w:rPr>
                <w:rFonts w:ascii="Arial Narrow" w:eastAsia="Times New Roman" w:hAnsi="Arial Narrow" w:cs="Times New Roman"/>
                <w:color w:val="000000"/>
                <w:sz w:val="18"/>
                <w:szCs w:val="18"/>
                <w:lang w:val="es-AR" w:eastAsia="es-AR"/>
              </w:rPr>
              <w:t>DB1</w:t>
            </w:r>
          </w:p>
        </w:tc>
      </w:tr>
      <w:tr w:rsidR="00681FCD" w:rsidRPr="00AF2F0E" w:rsidTr="00510E2A">
        <w:trPr>
          <w:trHeight w:val="18"/>
        </w:trPr>
        <w:tc>
          <w:tcPr>
            <w:tcW w:w="1161" w:type="dxa"/>
            <w:tcBorders>
              <w:top w:val="nil"/>
              <w:left w:val="single" w:sz="4" w:space="0" w:color="auto"/>
              <w:right w:val="single" w:sz="4" w:space="0" w:color="auto"/>
            </w:tcBorders>
            <w:shd w:val="clear" w:color="auto" w:fill="auto"/>
            <w:tcMar>
              <w:top w:w="15" w:type="dxa"/>
              <w:left w:w="15" w:type="dxa"/>
              <w:bottom w:w="0" w:type="dxa"/>
              <w:right w:w="15" w:type="dxa"/>
            </w:tcMar>
            <w:vAlign w:val="center"/>
          </w:tcPr>
          <w:p w:rsidR="00681FCD" w:rsidRPr="00AF2F0E" w:rsidRDefault="00681FCD" w:rsidP="00AF2F0E">
            <w:pPr>
              <w:spacing w:after="0" w:line="240" w:lineRule="auto"/>
              <w:jc w:val="center"/>
              <w:rPr>
                <w:rFonts w:ascii="Arial Narrow" w:eastAsia="Times New Roman" w:hAnsi="Arial Narrow" w:cs="Times New Roman"/>
                <w:color w:val="000000"/>
                <w:sz w:val="18"/>
                <w:szCs w:val="18"/>
                <w:lang w:val="es-AR" w:eastAsia="es-AR"/>
              </w:rPr>
            </w:pPr>
            <w:r w:rsidRPr="00AF2F0E">
              <w:rPr>
                <w:rFonts w:ascii="Arial Narrow" w:eastAsia="Times New Roman" w:hAnsi="Arial Narrow" w:cs="Times New Roman"/>
                <w:color w:val="000000"/>
                <w:sz w:val="18"/>
                <w:szCs w:val="18"/>
                <w:lang w:val="es-AR" w:eastAsia="es-AR"/>
              </w:rPr>
              <w:t>Tarifa 1C</w:t>
            </w:r>
          </w:p>
        </w:tc>
        <w:tc>
          <w:tcPr>
            <w:tcW w:w="1811" w:type="dxa"/>
            <w:tcBorders>
              <w:top w:val="nil"/>
              <w:left w:val="single" w:sz="4" w:space="0" w:color="auto"/>
              <w:right w:val="single" w:sz="4" w:space="0" w:color="auto"/>
            </w:tcBorders>
            <w:shd w:val="clear" w:color="auto" w:fill="auto"/>
            <w:tcMar>
              <w:top w:w="15" w:type="dxa"/>
              <w:left w:w="15" w:type="dxa"/>
              <w:bottom w:w="0" w:type="dxa"/>
              <w:right w:w="15" w:type="dxa"/>
            </w:tcMar>
            <w:vAlign w:val="center"/>
          </w:tcPr>
          <w:p w:rsidR="00681FCD" w:rsidRPr="00AF2F0E" w:rsidRDefault="00681FCD" w:rsidP="00AF2F0E">
            <w:pPr>
              <w:spacing w:after="0" w:line="240" w:lineRule="auto"/>
              <w:jc w:val="center"/>
              <w:rPr>
                <w:rFonts w:ascii="Arial Narrow" w:eastAsia="Times New Roman" w:hAnsi="Arial Narrow" w:cs="Times New Roman"/>
                <w:color w:val="000000"/>
                <w:sz w:val="18"/>
                <w:szCs w:val="18"/>
                <w:lang w:val="es-AR" w:eastAsia="es-AR"/>
              </w:rPr>
            </w:pPr>
            <w:r w:rsidRPr="00AF2F0E">
              <w:rPr>
                <w:rFonts w:ascii="Arial Narrow" w:eastAsia="Times New Roman" w:hAnsi="Arial Narrow" w:cs="Times New Roman"/>
                <w:color w:val="000000"/>
                <w:sz w:val="18"/>
                <w:szCs w:val="18"/>
                <w:lang w:val="es-AR" w:eastAsia="es-AR"/>
              </w:rPr>
              <w:t>DB1</w:t>
            </w:r>
          </w:p>
        </w:tc>
      </w:tr>
      <w:tr w:rsidR="00681FCD" w:rsidRPr="00AF2F0E" w:rsidTr="00510E2A">
        <w:trPr>
          <w:trHeight w:val="18"/>
        </w:trPr>
        <w:tc>
          <w:tcPr>
            <w:tcW w:w="1161" w:type="dxa"/>
            <w:tcBorders>
              <w:top w:val="nil"/>
              <w:left w:val="single" w:sz="4" w:space="0" w:color="auto"/>
              <w:right w:val="single" w:sz="4" w:space="0" w:color="auto"/>
            </w:tcBorders>
            <w:shd w:val="clear" w:color="auto" w:fill="auto"/>
            <w:tcMar>
              <w:top w:w="15" w:type="dxa"/>
              <w:left w:w="15" w:type="dxa"/>
              <w:bottom w:w="0" w:type="dxa"/>
              <w:right w:w="15" w:type="dxa"/>
            </w:tcMar>
            <w:vAlign w:val="center"/>
          </w:tcPr>
          <w:p w:rsidR="00681FCD" w:rsidRPr="00AF2F0E" w:rsidRDefault="00681FCD" w:rsidP="00AF2F0E">
            <w:pPr>
              <w:spacing w:after="0" w:line="240" w:lineRule="auto"/>
              <w:jc w:val="center"/>
              <w:rPr>
                <w:rFonts w:ascii="Arial Narrow" w:eastAsia="Times New Roman" w:hAnsi="Arial Narrow" w:cs="Times New Roman"/>
                <w:color w:val="000000"/>
                <w:sz w:val="18"/>
                <w:szCs w:val="18"/>
                <w:lang w:val="es-AR" w:eastAsia="es-AR"/>
              </w:rPr>
            </w:pPr>
            <w:r w:rsidRPr="00AF2F0E">
              <w:rPr>
                <w:rFonts w:ascii="Arial Narrow" w:eastAsia="Times New Roman" w:hAnsi="Arial Narrow" w:cs="Times New Roman"/>
                <w:color w:val="000000"/>
                <w:sz w:val="18"/>
                <w:szCs w:val="18"/>
                <w:lang w:val="es-AR" w:eastAsia="es-AR"/>
              </w:rPr>
              <w:t>Tarifa 1D</w:t>
            </w:r>
          </w:p>
        </w:tc>
        <w:tc>
          <w:tcPr>
            <w:tcW w:w="1811" w:type="dxa"/>
            <w:tcBorders>
              <w:top w:val="nil"/>
              <w:left w:val="single" w:sz="4" w:space="0" w:color="auto"/>
              <w:right w:val="single" w:sz="4" w:space="0" w:color="auto"/>
            </w:tcBorders>
            <w:shd w:val="clear" w:color="auto" w:fill="auto"/>
            <w:tcMar>
              <w:top w:w="15" w:type="dxa"/>
              <w:left w:w="15" w:type="dxa"/>
              <w:bottom w:w="0" w:type="dxa"/>
              <w:right w:w="15" w:type="dxa"/>
            </w:tcMar>
            <w:vAlign w:val="center"/>
          </w:tcPr>
          <w:p w:rsidR="00681FCD" w:rsidRPr="00AF2F0E" w:rsidRDefault="00681FCD" w:rsidP="00AF2F0E">
            <w:pPr>
              <w:spacing w:after="0" w:line="240" w:lineRule="auto"/>
              <w:jc w:val="center"/>
              <w:rPr>
                <w:rFonts w:ascii="Arial Narrow" w:eastAsia="Times New Roman" w:hAnsi="Arial Narrow" w:cs="Times New Roman"/>
                <w:color w:val="000000"/>
                <w:sz w:val="18"/>
                <w:szCs w:val="18"/>
                <w:lang w:val="es-AR" w:eastAsia="es-AR"/>
              </w:rPr>
            </w:pPr>
            <w:r w:rsidRPr="00AF2F0E">
              <w:rPr>
                <w:rFonts w:ascii="Arial Narrow" w:eastAsia="Times New Roman" w:hAnsi="Arial Narrow" w:cs="Times New Roman"/>
                <w:color w:val="000000"/>
                <w:sz w:val="18"/>
                <w:szCs w:val="18"/>
                <w:lang w:val="es-AR" w:eastAsia="es-AR"/>
              </w:rPr>
              <w:t>DB1</w:t>
            </w:r>
          </w:p>
        </w:tc>
      </w:tr>
      <w:tr w:rsidR="00681FCD" w:rsidRPr="00AF2F0E" w:rsidTr="00510E2A">
        <w:trPr>
          <w:trHeight w:val="18"/>
        </w:trPr>
        <w:tc>
          <w:tcPr>
            <w:tcW w:w="1161" w:type="dxa"/>
            <w:tcBorders>
              <w:top w:val="nil"/>
              <w:left w:val="single" w:sz="4" w:space="0" w:color="auto"/>
              <w:right w:val="single" w:sz="4" w:space="0" w:color="auto"/>
            </w:tcBorders>
            <w:shd w:val="clear" w:color="auto" w:fill="auto"/>
            <w:tcMar>
              <w:top w:w="15" w:type="dxa"/>
              <w:left w:w="15" w:type="dxa"/>
              <w:bottom w:w="0" w:type="dxa"/>
              <w:right w:w="15" w:type="dxa"/>
            </w:tcMar>
            <w:vAlign w:val="center"/>
          </w:tcPr>
          <w:p w:rsidR="00681FCD" w:rsidRPr="00AF2F0E" w:rsidRDefault="00681FCD" w:rsidP="00AF2F0E">
            <w:pPr>
              <w:spacing w:after="0" w:line="240" w:lineRule="auto"/>
              <w:jc w:val="center"/>
              <w:rPr>
                <w:rFonts w:ascii="Arial Narrow" w:eastAsia="Times New Roman" w:hAnsi="Arial Narrow" w:cs="Times New Roman"/>
                <w:color w:val="000000"/>
                <w:sz w:val="18"/>
                <w:szCs w:val="18"/>
                <w:lang w:val="es-AR" w:eastAsia="es-AR"/>
              </w:rPr>
            </w:pPr>
            <w:r w:rsidRPr="00AF2F0E">
              <w:rPr>
                <w:rFonts w:ascii="Arial Narrow" w:eastAsia="Times New Roman" w:hAnsi="Arial Narrow" w:cs="Times New Roman"/>
                <w:color w:val="000000"/>
                <w:sz w:val="18"/>
                <w:szCs w:val="18"/>
                <w:lang w:val="es-AR" w:eastAsia="es-AR"/>
              </w:rPr>
              <w:t>Tarifa 1E</w:t>
            </w:r>
          </w:p>
        </w:tc>
        <w:tc>
          <w:tcPr>
            <w:tcW w:w="1811" w:type="dxa"/>
            <w:tcBorders>
              <w:top w:val="nil"/>
              <w:left w:val="single" w:sz="4" w:space="0" w:color="auto"/>
              <w:right w:val="single" w:sz="4" w:space="0" w:color="auto"/>
            </w:tcBorders>
            <w:shd w:val="clear" w:color="auto" w:fill="auto"/>
            <w:tcMar>
              <w:top w:w="15" w:type="dxa"/>
              <w:left w:w="15" w:type="dxa"/>
              <w:bottom w:w="0" w:type="dxa"/>
              <w:right w:w="15" w:type="dxa"/>
            </w:tcMar>
            <w:vAlign w:val="center"/>
          </w:tcPr>
          <w:p w:rsidR="00681FCD" w:rsidRPr="00AF2F0E" w:rsidRDefault="00681FCD" w:rsidP="00AF2F0E">
            <w:pPr>
              <w:spacing w:after="0" w:line="240" w:lineRule="auto"/>
              <w:jc w:val="center"/>
              <w:rPr>
                <w:rFonts w:ascii="Arial Narrow" w:eastAsia="Times New Roman" w:hAnsi="Arial Narrow" w:cs="Times New Roman"/>
                <w:color w:val="000000"/>
                <w:sz w:val="18"/>
                <w:szCs w:val="18"/>
                <w:lang w:val="es-AR" w:eastAsia="es-AR"/>
              </w:rPr>
            </w:pPr>
            <w:r w:rsidRPr="00AF2F0E">
              <w:rPr>
                <w:rFonts w:ascii="Arial Narrow" w:eastAsia="Times New Roman" w:hAnsi="Arial Narrow" w:cs="Times New Roman"/>
                <w:color w:val="000000"/>
                <w:sz w:val="18"/>
                <w:szCs w:val="18"/>
                <w:lang w:val="es-AR" w:eastAsia="es-AR"/>
              </w:rPr>
              <w:t>DB1</w:t>
            </w:r>
          </w:p>
        </w:tc>
      </w:tr>
      <w:tr w:rsidR="00681FCD" w:rsidRPr="00AF2F0E" w:rsidTr="00510E2A">
        <w:trPr>
          <w:trHeight w:val="18"/>
        </w:trPr>
        <w:tc>
          <w:tcPr>
            <w:tcW w:w="1161" w:type="dxa"/>
            <w:tcBorders>
              <w:top w:val="nil"/>
              <w:left w:val="single" w:sz="4" w:space="0" w:color="auto"/>
              <w:right w:val="single" w:sz="4" w:space="0" w:color="auto"/>
            </w:tcBorders>
            <w:shd w:val="clear" w:color="auto" w:fill="auto"/>
            <w:tcMar>
              <w:top w:w="15" w:type="dxa"/>
              <w:left w:w="15" w:type="dxa"/>
              <w:bottom w:w="0" w:type="dxa"/>
              <w:right w:w="15" w:type="dxa"/>
            </w:tcMar>
            <w:vAlign w:val="center"/>
          </w:tcPr>
          <w:p w:rsidR="00681FCD" w:rsidRPr="00AF2F0E" w:rsidRDefault="00681FCD" w:rsidP="00AF2F0E">
            <w:pPr>
              <w:spacing w:after="0" w:line="240" w:lineRule="auto"/>
              <w:jc w:val="center"/>
              <w:rPr>
                <w:rFonts w:ascii="Arial Narrow" w:eastAsia="Times New Roman" w:hAnsi="Arial Narrow" w:cs="Times New Roman"/>
                <w:color w:val="000000"/>
                <w:sz w:val="18"/>
                <w:szCs w:val="18"/>
                <w:lang w:val="es-AR" w:eastAsia="es-AR"/>
              </w:rPr>
            </w:pPr>
            <w:r w:rsidRPr="00AF2F0E">
              <w:rPr>
                <w:rFonts w:ascii="Arial Narrow" w:eastAsia="Times New Roman" w:hAnsi="Arial Narrow" w:cs="Times New Roman"/>
                <w:color w:val="000000"/>
                <w:sz w:val="18"/>
                <w:szCs w:val="18"/>
                <w:lang w:val="es-AR" w:eastAsia="es-AR"/>
              </w:rPr>
              <w:t>Tarifa 1F</w:t>
            </w:r>
          </w:p>
        </w:tc>
        <w:tc>
          <w:tcPr>
            <w:tcW w:w="1811" w:type="dxa"/>
            <w:tcBorders>
              <w:top w:val="nil"/>
              <w:left w:val="single" w:sz="4" w:space="0" w:color="auto"/>
              <w:right w:val="single" w:sz="4" w:space="0" w:color="auto"/>
            </w:tcBorders>
            <w:shd w:val="clear" w:color="auto" w:fill="auto"/>
            <w:tcMar>
              <w:top w:w="15" w:type="dxa"/>
              <w:left w:w="15" w:type="dxa"/>
              <w:bottom w:w="0" w:type="dxa"/>
              <w:right w:w="15" w:type="dxa"/>
            </w:tcMar>
            <w:vAlign w:val="center"/>
          </w:tcPr>
          <w:p w:rsidR="00681FCD" w:rsidRPr="00AF2F0E" w:rsidRDefault="00681FCD" w:rsidP="00AF2F0E">
            <w:pPr>
              <w:spacing w:after="0" w:line="240" w:lineRule="auto"/>
              <w:jc w:val="center"/>
              <w:rPr>
                <w:rFonts w:ascii="Arial Narrow" w:eastAsia="Times New Roman" w:hAnsi="Arial Narrow" w:cs="Times New Roman"/>
                <w:color w:val="000000"/>
                <w:sz w:val="18"/>
                <w:szCs w:val="18"/>
                <w:lang w:val="es-AR" w:eastAsia="es-AR"/>
              </w:rPr>
            </w:pPr>
            <w:r w:rsidRPr="00AF2F0E">
              <w:rPr>
                <w:rFonts w:ascii="Arial Narrow" w:eastAsia="Times New Roman" w:hAnsi="Arial Narrow" w:cs="Times New Roman"/>
                <w:color w:val="000000"/>
                <w:sz w:val="18"/>
                <w:szCs w:val="18"/>
                <w:lang w:val="es-AR" w:eastAsia="es-AR"/>
              </w:rPr>
              <w:t>DB1</w:t>
            </w:r>
          </w:p>
        </w:tc>
      </w:tr>
      <w:tr w:rsidR="00681FCD" w:rsidRPr="00AF2F0E" w:rsidTr="00510E2A">
        <w:trPr>
          <w:trHeight w:val="18"/>
        </w:trPr>
        <w:tc>
          <w:tcPr>
            <w:tcW w:w="1161" w:type="dxa"/>
            <w:tcBorders>
              <w:top w:val="nil"/>
              <w:left w:val="single" w:sz="4" w:space="0" w:color="auto"/>
              <w:right w:val="single" w:sz="4" w:space="0" w:color="auto"/>
            </w:tcBorders>
            <w:shd w:val="clear" w:color="auto" w:fill="auto"/>
            <w:tcMar>
              <w:top w:w="15" w:type="dxa"/>
              <w:left w:w="15" w:type="dxa"/>
              <w:bottom w:w="0" w:type="dxa"/>
              <w:right w:w="15" w:type="dxa"/>
            </w:tcMar>
            <w:vAlign w:val="center"/>
          </w:tcPr>
          <w:p w:rsidR="00681FCD" w:rsidRPr="00AF2F0E" w:rsidRDefault="00681FCD" w:rsidP="00AF2F0E">
            <w:pPr>
              <w:spacing w:after="0" w:line="240" w:lineRule="auto"/>
              <w:jc w:val="center"/>
              <w:rPr>
                <w:rFonts w:ascii="Arial Narrow" w:eastAsia="Times New Roman" w:hAnsi="Arial Narrow" w:cs="Times New Roman"/>
                <w:color w:val="000000"/>
                <w:sz w:val="18"/>
                <w:szCs w:val="18"/>
                <w:lang w:val="es-AR" w:eastAsia="es-AR"/>
              </w:rPr>
            </w:pPr>
            <w:r w:rsidRPr="00AF2F0E">
              <w:rPr>
                <w:rFonts w:ascii="Arial Narrow" w:eastAsia="Times New Roman" w:hAnsi="Arial Narrow" w:cs="Times New Roman"/>
                <w:color w:val="000000"/>
                <w:sz w:val="18"/>
                <w:szCs w:val="18"/>
                <w:lang w:val="es-AR" w:eastAsia="es-AR"/>
              </w:rPr>
              <w:t>Tarifa 2</w:t>
            </w:r>
          </w:p>
        </w:tc>
        <w:tc>
          <w:tcPr>
            <w:tcW w:w="1811" w:type="dxa"/>
            <w:tcBorders>
              <w:top w:val="nil"/>
              <w:left w:val="single" w:sz="4" w:space="0" w:color="auto"/>
              <w:right w:val="single" w:sz="4" w:space="0" w:color="auto"/>
            </w:tcBorders>
            <w:shd w:val="clear" w:color="auto" w:fill="auto"/>
            <w:tcMar>
              <w:top w:w="15" w:type="dxa"/>
              <w:left w:w="15" w:type="dxa"/>
              <w:bottom w:w="0" w:type="dxa"/>
              <w:right w:w="15" w:type="dxa"/>
            </w:tcMar>
            <w:vAlign w:val="center"/>
          </w:tcPr>
          <w:p w:rsidR="00681FCD" w:rsidRPr="00AF2F0E" w:rsidRDefault="00681FCD" w:rsidP="00AF2F0E">
            <w:pPr>
              <w:spacing w:after="0" w:line="240" w:lineRule="auto"/>
              <w:jc w:val="center"/>
              <w:rPr>
                <w:rFonts w:ascii="Arial Narrow" w:eastAsia="Times New Roman" w:hAnsi="Arial Narrow" w:cs="Times New Roman"/>
                <w:color w:val="000000"/>
                <w:sz w:val="18"/>
                <w:szCs w:val="18"/>
                <w:lang w:val="es-AR" w:eastAsia="es-AR"/>
              </w:rPr>
            </w:pPr>
            <w:r w:rsidRPr="00AF2F0E">
              <w:rPr>
                <w:rFonts w:ascii="Arial Narrow" w:eastAsia="Times New Roman" w:hAnsi="Arial Narrow" w:cs="Times New Roman"/>
                <w:color w:val="000000"/>
                <w:sz w:val="18"/>
                <w:szCs w:val="18"/>
                <w:lang w:val="es-AR" w:eastAsia="es-AR"/>
              </w:rPr>
              <w:t>PDBT</w:t>
            </w:r>
          </w:p>
        </w:tc>
      </w:tr>
      <w:tr w:rsidR="00681FCD" w:rsidRPr="00AF2F0E" w:rsidTr="00510E2A">
        <w:trPr>
          <w:trHeight w:val="18"/>
        </w:trPr>
        <w:tc>
          <w:tcPr>
            <w:tcW w:w="1161" w:type="dxa"/>
            <w:tcBorders>
              <w:top w:val="nil"/>
              <w:left w:val="single" w:sz="4" w:space="0" w:color="auto"/>
              <w:right w:val="single" w:sz="4" w:space="0" w:color="auto"/>
            </w:tcBorders>
            <w:shd w:val="clear" w:color="auto" w:fill="auto"/>
            <w:tcMar>
              <w:top w:w="15" w:type="dxa"/>
              <w:left w:w="15" w:type="dxa"/>
              <w:bottom w:w="0" w:type="dxa"/>
              <w:right w:w="15" w:type="dxa"/>
            </w:tcMar>
            <w:vAlign w:val="center"/>
          </w:tcPr>
          <w:p w:rsidR="00681FCD" w:rsidRPr="00AF2F0E" w:rsidRDefault="00681FCD" w:rsidP="00AF2F0E">
            <w:pPr>
              <w:spacing w:after="0" w:line="240" w:lineRule="auto"/>
              <w:jc w:val="center"/>
              <w:rPr>
                <w:rFonts w:ascii="Arial Narrow" w:eastAsia="Times New Roman" w:hAnsi="Arial Narrow" w:cs="Times New Roman"/>
                <w:color w:val="000000"/>
                <w:sz w:val="18"/>
                <w:szCs w:val="18"/>
                <w:lang w:val="es-AR" w:eastAsia="es-AR"/>
              </w:rPr>
            </w:pPr>
            <w:r w:rsidRPr="00AF2F0E">
              <w:rPr>
                <w:rFonts w:ascii="Arial Narrow" w:eastAsia="Times New Roman" w:hAnsi="Arial Narrow" w:cs="Times New Roman"/>
                <w:color w:val="000000"/>
                <w:sz w:val="18"/>
                <w:szCs w:val="18"/>
                <w:lang w:val="es-AR" w:eastAsia="es-AR"/>
              </w:rPr>
              <w:t>Tarifa 3</w:t>
            </w:r>
          </w:p>
        </w:tc>
        <w:tc>
          <w:tcPr>
            <w:tcW w:w="1811" w:type="dxa"/>
            <w:tcBorders>
              <w:top w:val="nil"/>
              <w:left w:val="single" w:sz="4" w:space="0" w:color="auto"/>
              <w:right w:val="single" w:sz="4" w:space="0" w:color="auto"/>
            </w:tcBorders>
            <w:shd w:val="clear" w:color="auto" w:fill="auto"/>
            <w:tcMar>
              <w:top w:w="15" w:type="dxa"/>
              <w:left w:w="15" w:type="dxa"/>
              <w:bottom w:w="0" w:type="dxa"/>
              <w:right w:w="15" w:type="dxa"/>
            </w:tcMar>
            <w:vAlign w:val="center"/>
          </w:tcPr>
          <w:p w:rsidR="00681FCD" w:rsidRPr="00AF2F0E" w:rsidRDefault="00681FCD" w:rsidP="00AF2F0E">
            <w:pPr>
              <w:spacing w:after="0" w:line="240" w:lineRule="auto"/>
              <w:jc w:val="center"/>
              <w:rPr>
                <w:rFonts w:ascii="Arial Narrow" w:eastAsia="Times New Roman" w:hAnsi="Arial Narrow" w:cs="Times New Roman"/>
                <w:color w:val="000000"/>
                <w:sz w:val="18"/>
                <w:szCs w:val="18"/>
                <w:lang w:val="es-AR" w:eastAsia="es-AR"/>
              </w:rPr>
            </w:pPr>
            <w:r w:rsidRPr="00AF2F0E">
              <w:rPr>
                <w:rFonts w:ascii="Arial Narrow" w:eastAsia="Times New Roman" w:hAnsi="Arial Narrow" w:cs="Times New Roman"/>
                <w:color w:val="000000"/>
                <w:sz w:val="18"/>
                <w:szCs w:val="18"/>
                <w:lang w:val="es-AR" w:eastAsia="es-AR"/>
              </w:rPr>
              <w:t>GDBT</w:t>
            </w:r>
          </w:p>
        </w:tc>
      </w:tr>
      <w:tr w:rsidR="00681FCD" w:rsidRPr="00AF2F0E" w:rsidTr="00510E2A">
        <w:trPr>
          <w:trHeight w:val="18"/>
        </w:trPr>
        <w:tc>
          <w:tcPr>
            <w:tcW w:w="1161" w:type="dxa"/>
            <w:tcBorders>
              <w:top w:val="nil"/>
              <w:left w:val="single" w:sz="4" w:space="0" w:color="auto"/>
              <w:right w:val="single" w:sz="4" w:space="0" w:color="auto"/>
            </w:tcBorders>
            <w:shd w:val="clear" w:color="auto" w:fill="auto"/>
            <w:tcMar>
              <w:top w:w="15" w:type="dxa"/>
              <w:left w:w="15" w:type="dxa"/>
              <w:bottom w:w="0" w:type="dxa"/>
              <w:right w:w="15" w:type="dxa"/>
            </w:tcMar>
            <w:vAlign w:val="center"/>
          </w:tcPr>
          <w:p w:rsidR="00681FCD" w:rsidRPr="00AF2F0E" w:rsidRDefault="00681FCD" w:rsidP="00AF2F0E">
            <w:pPr>
              <w:spacing w:after="0" w:line="240" w:lineRule="auto"/>
              <w:jc w:val="center"/>
              <w:rPr>
                <w:rFonts w:ascii="Arial Narrow" w:eastAsia="Times New Roman" w:hAnsi="Arial Narrow" w:cs="Times New Roman"/>
                <w:color w:val="000000"/>
                <w:sz w:val="18"/>
                <w:szCs w:val="18"/>
                <w:lang w:val="es-AR" w:eastAsia="es-AR"/>
              </w:rPr>
            </w:pPr>
            <w:r w:rsidRPr="00AF2F0E">
              <w:rPr>
                <w:rFonts w:ascii="Arial Narrow" w:eastAsia="Times New Roman" w:hAnsi="Arial Narrow" w:cs="Times New Roman"/>
                <w:color w:val="000000"/>
                <w:sz w:val="18"/>
                <w:szCs w:val="18"/>
                <w:lang w:val="es-AR" w:eastAsia="es-AR"/>
              </w:rPr>
              <w:t>Tarifa 5</w:t>
            </w:r>
          </w:p>
        </w:tc>
        <w:tc>
          <w:tcPr>
            <w:tcW w:w="1811" w:type="dxa"/>
            <w:tcBorders>
              <w:top w:val="nil"/>
              <w:left w:val="single" w:sz="4" w:space="0" w:color="auto"/>
              <w:right w:val="single" w:sz="4" w:space="0" w:color="auto"/>
            </w:tcBorders>
            <w:shd w:val="clear" w:color="auto" w:fill="auto"/>
            <w:tcMar>
              <w:top w:w="15" w:type="dxa"/>
              <w:left w:w="15" w:type="dxa"/>
              <w:bottom w:w="0" w:type="dxa"/>
              <w:right w:w="15" w:type="dxa"/>
            </w:tcMar>
            <w:vAlign w:val="center"/>
          </w:tcPr>
          <w:p w:rsidR="00681FCD" w:rsidRPr="00AF2F0E" w:rsidRDefault="00681FCD" w:rsidP="00AF2F0E">
            <w:pPr>
              <w:spacing w:after="0" w:line="240" w:lineRule="auto"/>
              <w:jc w:val="center"/>
              <w:rPr>
                <w:rFonts w:ascii="Arial Narrow" w:eastAsia="Times New Roman" w:hAnsi="Arial Narrow" w:cs="Times New Roman"/>
                <w:color w:val="000000"/>
                <w:sz w:val="18"/>
                <w:szCs w:val="18"/>
                <w:lang w:val="es-AR" w:eastAsia="es-AR"/>
              </w:rPr>
            </w:pPr>
            <w:r w:rsidRPr="00AF2F0E">
              <w:rPr>
                <w:rFonts w:ascii="Arial Narrow" w:eastAsia="Times New Roman" w:hAnsi="Arial Narrow" w:cs="Times New Roman"/>
                <w:color w:val="000000"/>
                <w:sz w:val="18"/>
                <w:szCs w:val="18"/>
                <w:lang w:val="es-AR" w:eastAsia="es-AR"/>
              </w:rPr>
              <w:t>PDBT</w:t>
            </w:r>
          </w:p>
        </w:tc>
      </w:tr>
      <w:tr w:rsidR="00681FCD" w:rsidRPr="00AF2F0E" w:rsidTr="00510E2A">
        <w:trPr>
          <w:trHeight w:val="18"/>
        </w:trPr>
        <w:tc>
          <w:tcPr>
            <w:tcW w:w="1161" w:type="dxa"/>
            <w:tcBorders>
              <w:top w:val="nil"/>
              <w:left w:val="single" w:sz="4" w:space="0" w:color="auto"/>
              <w:right w:val="single" w:sz="4" w:space="0" w:color="auto"/>
            </w:tcBorders>
            <w:shd w:val="clear" w:color="auto" w:fill="auto"/>
            <w:tcMar>
              <w:top w:w="15" w:type="dxa"/>
              <w:left w:w="15" w:type="dxa"/>
              <w:bottom w:w="0" w:type="dxa"/>
              <w:right w:w="15" w:type="dxa"/>
            </w:tcMar>
            <w:vAlign w:val="center"/>
          </w:tcPr>
          <w:p w:rsidR="00681FCD" w:rsidRPr="00AF2F0E" w:rsidRDefault="00681FCD" w:rsidP="00AF2F0E">
            <w:pPr>
              <w:spacing w:after="0" w:line="240" w:lineRule="auto"/>
              <w:jc w:val="center"/>
              <w:rPr>
                <w:rFonts w:ascii="Arial Narrow" w:eastAsia="Times New Roman" w:hAnsi="Arial Narrow" w:cs="Times New Roman"/>
                <w:color w:val="000000"/>
                <w:sz w:val="18"/>
                <w:szCs w:val="18"/>
                <w:lang w:val="es-AR" w:eastAsia="es-AR"/>
              </w:rPr>
            </w:pPr>
            <w:r w:rsidRPr="00AF2F0E">
              <w:rPr>
                <w:rFonts w:ascii="Arial Narrow" w:eastAsia="Times New Roman" w:hAnsi="Arial Narrow" w:cs="Times New Roman"/>
                <w:color w:val="000000"/>
                <w:sz w:val="18"/>
                <w:szCs w:val="18"/>
                <w:lang w:val="es-AR" w:eastAsia="es-AR"/>
              </w:rPr>
              <w:t>Tarifa 5A</w:t>
            </w:r>
          </w:p>
        </w:tc>
        <w:tc>
          <w:tcPr>
            <w:tcW w:w="1811" w:type="dxa"/>
            <w:tcBorders>
              <w:top w:val="nil"/>
              <w:left w:val="single" w:sz="4" w:space="0" w:color="auto"/>
              <w:right w:val="single" w:sz="4" w:space="0" w:color="auto"/>
            </w:tcBorders>
            <w:shd w:val="clear" w:color="auto" w:fill="auto"/>
            <w:tcMar>
              <w:top w:w="15" w:type="dxa"/>
              <w:left w:w="15" w:type="dxa"/>
              <w:bottom w:w="0" w:type="dxa"/>
              <w:right w:w="15" w:type="dxa"/>
            </w:tcMar>
            <w:vAlign w:val="center"/>
          </w:tcPr>
          <w:p w:rsidR="00681FCD" w:rsidRPr="00AF2F0E" w:rsidRDefault="00681FCD" w:rsidP="00AF2F0E">
            <w:pPr>
              <w:spacing w:after="0" w:line="240" w:lineRule="auto"/>
              <w:jc w:val="center"/>
              <w:rPr>
                <w:rFonts w:ascii="Arial Narrow" w:eastAsia="Times New Roman" w:hAnsi="Arial Narrow" w:cs="Times New Roman"/>
                <w:color w:val="000000"/>
                <w:sz w:val="18"/>
                <w:szCs w:val="18"/>
                <w:lang w:val="es-AR" w:eastAsia="es-AR"/>
              </w:rPr>
            </w:pPr>
            <w:r w:rsidRPr="00AF2F0E">
              <w:rPr>
                <w:rFonts w:ascii="Arial Narrow" w:eastAsia="Times New Roman" w:hAnsi="Arial Narrow" w:cs="Times New Roman"/>
                <w:color w:val="000000"/>
                <w:sz w:val="18"/>
                <w:szCs w:val="18"/>
                <w:lang w:val="es-AR" w:eastAsia="es-AR"/>
              </w:rPr>
              <w:t>PDBT</w:t>
            </w:r>
          </w:p>
        </w:tc>
      </w:tr>
      <w:tr w:rsidR="00681FCD" w:rsidRPr="00AF2F0E" w:rsidTr="00510E2A">
        <w:trPr>
          <w:trHeight w:val="18"/>
        </w:trPr>
        <w:tc>
          <w:tcPr>
            <w:tcW w:w="1161" w:type="dxa"/>
            <w:tcBorders>
              <w:left w:val="single" w:sz="4" w:space="0" w:color="auto"/>
              <w:right w:val="single" w:sz="4" w:space="0" w:color="auto"/>
            </w:tcBorders>
            <w:shd w:val="clear" w:color="auto" w:fill="auto"/>
            <w:tcMar>
              <w:top w:w="15" w:type="dxa"/>
              <w:left w:w="15" w:type="dxa"/>
              <w:bottom w:w="0" w:type="dxa"/>
              <w:right w:w="15" w:type="dxa"/>
            </w:tcMar>
            <w:vAlign w:val="center"/>
            <w:hideMark/>
          </w:tcPr>
          <w:p w:rsidR="00681FCD" w:rsidRPr="00AF2F0E" w:rsidRDefault="00681FCD" w:rsidP="00AF2F0E">
            <w:pPr>
              <w:spacing w:after="0" w:line="240" w:lineRule="auto"/>
              <w:jc w:val="center"/>
              <w:rPr>
                <w:rFonts w:ascii="Arial Narrow" w:eastAsia="Times New Roman" w:hAnsi="Arial Narrow" w:cs="Times New Roman"/>
                <w:color w:val="000000"/>
                <w:sz w:val="18"/>
                <w:szCs w:val="18"/>
                <w:lang w:val="es-AR" w:eastAsia="es-AR"/>
              </w:rPr>
            </w:pPr>
            <w:r w:rsidRPr="00AF2F0E">
              <w:rPr>
                <w:rFonts w:ascii="Arial Narrow" w:eastAsia="Times New Roman" w:hAnsi="Arial Narrow" w:cs="Times New Roman"/>
                <w:color w:val="000000"/>
                <w:sz w:val="18"/>
                <w:szCs w:val="18"/>
                <w:lang w:val="es-AR" w:eastAsia="es-AR"/>
              </w:rPr>
              <w:t>Tarifa 6</w:t>
            </w:r>
          </w:p>
        </w:tc>
        <w:tc>
          <w:tcPr>
            <w:tcW w:w="1811" w:type="dxa"/>
            <w:tcBorders>
              <w:left w:val="single" w:sz="4" w:space="0" w:color="auto"/>
              <w:right w:val="single" w:sz="4" w:space="0" w:color="auto"/>
            </w:tcBorders>
            <w:shd w:val="clear" w:color="auto" w:fill="auto"/>
            <w:tcMar>
              <w:top w:w="15" w:type="dxa"/>
              <w:left w:w="15" w:type="dxa"/>
              <w:bottom w:w="0" w:type="dxa"/>
              <w:right w:w="15" w:type="dxa"/>
            </w:tcMar>
            <w:vAlign w:val="center"/>
            <w:hideMark/>
          </w:tcPr>
          <w:p w:rsidR="00681FCD" w:rsidRPr="00AF2F0E" w:rsidRDefault="00681FCD" w:rsidP="00AF2F0E">
            <w:pPr>
              <w:spacing w:after="0" w:line="240" w:lineRule="auto"/>
              <w:jc w:val="center"/>
              <w:rPr>
                <w:rFonts w:ascii="Arial Narrow" w:eastAsia="Times New Roman" w:hAnsi="Arial Narrow" w:cs="Times New Roman"/>
                <w:color w:val="000000"/>
                <w:sz w:val="18"/>
                <w:szCs w:val="18"/>
                <w:lang w:val="es-AR" w:eastAsia="es-AR"/>
              </w:rPr>
            </w:pPr>
            <w:r w:rsidRPr="00AF2F0E">
              <w:rPr>
                <w:rFonts w:ascii="Arial Narrow" w:eastAsia="Times New Roman" w:hAnsi="Arial Narrow" w:cs="Times New Roman"/>
                <w:color w:val="000000"/>
                <w:sz w:val="18"/>
                <w:szCs w:val="18"/>
                <w:lang w:val="es-AR" w:eastAsia="es-AR"/>
              </w:rPr>
              <w:t>PDBT/GDBT</w:t>
            </w:r>
          </w:p>
        </w:tc>
      </w:tr>
      <w:tr w:rsidR="00681FCD" w:rsidRPr="00AF2F0E" w:rsidTr="00510E2A">
        <w:trPr>
          <w:trHeight w:val="18"/>
        </w:trPr>
        <w:tc>
          <w:tcPr>
            <w:tcW w:w="1161"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681FCD" w:rsidRPr="00AF2F0E" w:rsidRDefault="00681FCD" w:rsidP="00AF2F0E">
            <w:pPr>
              <w:spacing w:after="0" w:line="240" w:lineRule="auto"/>
              <w:jc w:val="center"/>
              <w:rPr>
                <w:rFonts w:ascii="Arial Narrow" w:eastAsia="Times New Roman" w:hAnsi="Arial Narrow" w:cs="Times New Roman"/>
                <w:color w:val="000000"/>
                <w:sz w:val="18"/>
                <w:szCs w:val="18"/>
                <w:lang w:val="es-AR" w:eastAsia="es-AR"/>
              </w:rPr>
            </w:pPr>
            <w:r w:rsidRPr="00AF2F0E">
              <w:rPr>
                <w:rFonts w:ascii="Arial Narrow" w:eastAsia="Times New Roman" w:hAnsi="Arial Narrow" w:cs="Times New Roman"/>
                <w:color w:val="000000"/>
                <w:sz w:val="18"/>
                <w:szCs w:val="18"/>
                <w:lang w:val="es-AR" w:eastAsia="es-AR"/>
              </w:rPr>
              <w:t>Tarifa 9</w:t>
            </w:r>
          </w:p>
        </w:tc>
        <w:tc>
          <w:tcPr>
            <w:tcW w:w="1811"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681FCD" w:rsidRPr="00AF2F0E" w:rsidRDefault="00681FCD" w:rsidP="00AF2F0E">
            <w:pPr>
              <w:spacing w:after="0" w:line="240" w:lineRule="auto"/>
              <w:jc w:val="center"/>
              <w:rPr>
                <w:rFonts w:ascii="Arial Narrow" w:eastAsia="Times New Roman" w:hAnsi="Arial Narrow" w:cs="Times New Roman"/>
                <w:color w:val="000000"/>
                <w:sz w:val="18"/>
                <w:szCs w:val="18"/>
                <w:lang w:val="es-AR" w:eastAsia="es-AR"/>
              </w:rPr>
            </w:pPr>
            <w:r w:rsidRPr="00AF2F0E">
              <w:rPr>
                <w:rFonts w:ascii="Arial Narrow" w:eastAsia="Times New Roman" w:hAnsi="Arial Narrow" w:cs="Times New Roman"/>
                <w:color w:val="000000"/>
                <w:sz w:val="18"/>
                <w:szCs w:val="18"/>
                <w:lang w:val="es-AR" w:eastAsia="es-AR"/>
              </w:rPr>
              <w:t>GDBT</w:t>
            </w:r>
          </w:p>
        </w:tc>
      </w:tr>
      <w:tr w:rsidR="00681FCD" w:rsidRPr="00AF2F0E" w:rsidTr="00510E2A">
        <w:trPr>
          <w:trHeight w:val="18"/>
        </w:trPr>
        <w:tc>
          <w:tcPr>
            <w:tcW w:w="1161"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681FCD" w:rsidRPr="00AF2F0E" w:rsidRDefault="00681FCD" w:rsidP="00AF2F0E">
            <w:pPr>
              <w:spacing w:after="0" w:line="240" w:lineRule="auto"/>
              <w:jc w:val="center"/>
              <w:rPr>
                <w:rFonts w:ascii="Arial Narrow" w:eastAsia="Times New Roman" w:hAnsi="Arial Narrow" w:cs="Times New Roman"/>
                <w:color w:val="000000"/>
                <w:sz w:val="18"/>
                <w:szCs w:val="18"/>
                <w:lang w:val="es-AR" w:eastAsia="es-AR"/>
              </w:rPr>
            </w:pPr>
            <w:r w:rsidRPr="00AF2F0E">
              <w:rPr>
                <w:rFonts w:ascii="Arial Narrow" w:eastAsia="Times New Roman" w:hAnsi="Arial Narrow" w:cs="Times New Roman"/>
                <w:color w:val="000000"/>
                <w:sz w:val="18"/>
                <w:szCs w:val="18"/>
                <w:lang w:val="es-AR" w:eastAsia="es-AR"/>
              </w:rPr>
              <w:t>Tarifa 9CU</w:t>
            </w:r>
          </w:p>
        </w:tc>
        <w:tc>
          <w:tcPr>
            <w:tcW w:w="1811"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681FCD" w:rsidRPr="00AF2F0E" w:rsidRDefault="00681FCD" w:rsidP="00AF2F0E">
            <w:pPr>
              <w:spacing w:after="0" w:line="240" w:lineRule="auto"/>
              <w:jc w:val="center"/>
              <w:rPr>
                <w:rFonts w:ascii="Arial Narrow" w:eastAsia="Times New Roman" w:hAnsi="Arial Narrow" w:cs="Times New Roman"/>
                <w:color w:val="000000"/>
                <w:sz w:val="18"/>
                <w:szCs w:val="18"/>
                <w:lang w:val="es-AR" w:eastAsia="es-AR"/>
              </w:rPr>
            </w:pPr>
            <w:r w:rsidRPr="00AF2F0E">
              <w:rPr>
                <w:rFonts w:ascii="Arial Narrow" w:eastAsia="Times New Roman" w:hAnsi="Arial Narrow" w:cs="Times New Roman"/>
                <w:color w:val="000000"/>
                <w:sz w:val="18"/>
                <w:szCs w:val="18"/>
                <w:lang w:val="es-AR" w:eastAsia="es-AR"/>
              </w:rPr>
              <w:t>GDBT/GDMT</w:t>
            </w:r>
          </w:p>
        </w:tc>
      </w:tr>
      <w:tr w:rsidR="00681FCD" w:rsidRPr="00AF2F0E" w:rsidTr="00510E2A">
        <w:trPr>
          <w:trHeight w:val="18"/>
        </w:trPr>
        <w:tc>
          <w:tcPr>
            <w:tcW w:w="1161"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681FCD" w:rsidRPr="00AF2F0E" w:rsidRDefault="00681FCD" w:rsidP="00AF2F0E">
            <w:pPr>
              <w:spacing w:after="0" w:line="240" w:lineRule="auto"/>
              <w:jc w:val="center"/>
              <w:rPr>
                <w:rFonts w:ascii="Arial Narrow" w:eastAsia="Times New Roman" w:hAnsi="Arial Narrow" w:cs="Times New Roman"/>
                <w:color w:val="000000"/>
                <w:sz w:val="18"/>
                <w:szCs w:val="18"/>
                <w:lang w:val="es-AR" w:eastAsia="es-AR"/>
              </w:rPr>
            </w:pPr>
            <w:r w:rsidRPr="00AF2F0E">
              <w:rPr>
                <w:rFonts w:ascii="Arial Narrow" w:eastAsia="Times New Roman" w:hAnsi="Arial Narrow" w:cs="Times New Roman"/>
                <w:color w:val="000000"/>
                <w:sz w:val="18"/>
                <w:szCs w:val="18"/>
                <w:lang w:val="es-AR" w:eastAsia="es-AR"/>
              </w:rPr>
              <w:t>Tarifa 9M</w:t>
            </w:r>
          </w:p>
        </w:tc>
        <w:tc>
          <w:tcPr>
            <w:tcW w:w="1811"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681FCD" w:rsidRPr="00AF2F0E" w:rsidRDefault="00A34C2E" w:rsidP="00AF2F0E">
            <w:pPr>
              <w:spacing w:after="0" w:line="240" w:lineRule="auto"/>
              <w:jc w:val="center"/>
              <w:rPr>
                <w:rFonts w:ascii="Arial Narrow" w:eastAsia="Times New Roman" w:hAnsi="Arial Narrow" w:cs="Times New Roman"/>
                <w:color w:val="000000"/>
                <w:sz w:val="18"/>
                <w:szCs w:val="18"/>
                <w:lang w:val="es-AR" w:eastAsia="es-AR"/>
              </w:rPr>
            </w:pPr>
            <w:r>
              <w:rPr>
                <w:rFonts w:ascii="Arial Narrow" w:eastAsia="Times New Roman" w:hAnsi="Arial Narrow" w:cs="Times New Roman"/>
                <w:color w:val="000000"/>
                <w:sz w:val="18"/>
                <w:szCs w:val="18"/>
                <w:lang w:val="es-AR" w:eastAsia="es-AR"/>
              </w:rPr>
              <w:t>GDB</w:t>
            </w:r>
            <w:r w:rsidR="00681FCD" w:rsidRPr="00AF2F0E">
              <w:rPr>
                <w:rFonts w:ascii="Arial Narrow" w:eastAsia="Times New Roman" w:hAnsi="Arial Narrow" w:cs="Times New Roman"/>
                <w:color w:val="000000"/>
                <w:sz w:val="18"/>
                <w:szCs w:val="18"/>
                <w:lang w:val="es-AR" w:eastAsia="es-AR"/>
              </w:rPr>
              <w:t>T</w:t>
            </w:r>
          </w:p>
        </w:tc>
      </w:tr>
      <w:tr w:rsidR="00681FCD" w:rsidRPr="00AF2F0E" w:rsidTr="00510E2A">
        <w:trPr>
          <w:trHeight w:val="18"/>
        </w:trPr>
        <w:tc>
          <w:tcPr>
            <w:tcW w:w="1161"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681FCD" w:rsidRPr="00AF2F0E" w:rsidRDefault="00681FCD" w:rsidP="00AF2F0E">
            <w:pPr>
              <w:spacing w:after="0" w:line="240" w:lineRule="auto"/>
              <w:jc w:val="center"/>
              <w:rPr>
                <w:rFonts w:ascii="Arial Narrow" w:eastAsia="Times New Roman" w:hAnsi="Arial Narrow" w:cs="Times New Roman"/>
                <w:color w:val="000000"/>
                <w:sz w:val="18"/>
                <w:szCs w:val="18"/>
                <w:lang w:val="es-AR" w:eastAsia="es-AR"/>
              </w:rPr>
            </w:pPr>
            <w:r w:rsidRPr="00AF2F0E">
              <w:rPr>
                <w:rFonts w:ascii="Arial Narrow" w:eastAsia="Times New Roman" w:hAnsi="Arial Narrow" w:cs="Times New Roman"/>
                <w:color w:val="000000"/>
                <w:sz w:val="18"/>
                <w:szCs w:val="18"/>
                <w:lang w:val="es-AR" w:eastAsia="es-AR"/>
              </w:rPr>
              <w:t>Tarifa 9N</w:t>
            </w:r>
          </w:p>
        </w:tc>
        <w:tc>
          <w:tcPr>
            <w:tcW w:w="1811"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681FCD" w:rsidRPr="00AF2F0E" w:rsidRDefault="00681FCD" w:rsidP="00AF2F0E">
            <w:pPr>
              <w:spacing w:after="0" w:line="240" w:lineRule="auto"/>
              <w:jc w:val="center"/>
              <w:rPr>
                <w:rFonts w:ascii="Arial Narrow" w:eastAsia="Times New Roman" w:hAnsi="Arial Narrow" w:cs="Times New Roman"/>
                <w:color w:val="000000"/>
                <w:sz w:val="18"/>
                <w:szCs w:val="18"/>
                <w:lang w:val="es-AR" w:eastAsia="es-AR"/>
              </w:rPr>
            </w:pPr>
            <w:r w:rsidRPr="00AF2F0E">
              <w:rPr>
                <w:rFonts w:ascii="Arial Narrow" w:eastAsia="Times New Roman" w:hAnsi="Arial Narrow" w:cs="Times New Roman"/>
                <w:color w:val="000000"/>
                <w:sz w:val="18"/>
                <w:szCs w:val="18"/>
                <w:lang w:val="es-AR" w:eastAsia="es-AR"/>
              </w:rPr>
              <w:t>GDBT/GDMT</w:t>
            </w:r>
          </w:p>
        </w:tc>
      </w:tr>
      <w:tr w:rsidR="00681FCD" w:rsidRPr="00AF2F0E" w:rsidTr="00510E2A">
        <w:trPr>
          <w:trHeight w:val="18"/>
        </w:trPr>
        <w:tc>
          <w:tcPr>
            <w:tcW w:w="1161"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681FCD" w:rsidRPr="00AF2F0E" w:rsidRDefault="00681FCD" w:rsidP="00AF2F0E">
            <w:pPr>
              <w:spacing w:after="0" w:line="240" w:lineRule="auto"/>
              <w:jc w:val="center"/>
              <w:rPr>
                <w:rFonts w:ascii="Arial Narrow" w:eastAsia="Times New Roman" w:hAnsi="Arial Narrow" w:cs="Times New Roman"/>
                <w:color w:val="000000"/>
                <w:sz w:val="18"/>
                <w:szCs w:val="18"/>
                <w:lang w:val="es-AR" w:eastAsia="es-AR"/>
              </w:rPr>
            </w:pPr>
            <w:r w:rsidRPr="00AF2F0E">
              <w:rPr>
                <w:rFonts w:ascii="Arial Narrow" w:eastAsia="Times New Roman" w:hAnsi="Arial Narrow" w:cs="Times New Roman"/>
                <w:color w:val="000000"/>
                <w:sz w:val="18"/>
                <w:szCs w:val="18"/>
                <w:lang w:val="es-AR" w:eastAsia="es-AR"/>
              </w:rPr>
              <w:t>Tarifa HM</w:t>
            </w:r>
          </w:p>
        </w:tc>
        <w:tc>
          <w:tcPr>
            <w:tcW w:w="1811"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681FCD" w:rsidRPr="00AF2F0E" w:rsidRDefault="00681FCD" w:rsidP="00AF2F0E">
            <w:pPr>
              <w:spacing w:after="0" w:line="240" w:lineRule="auto"/>
              <w:jc w:val="center"/>
              <w:rPr>
                <w:rFonts w:ascii="Arial Narrow" w:eastAsia="Times New Roman" w:hAnsi="Arial Narrow" w:cs="Times New Roman"/>
                <w:color w:val="000000"/>
                <w:sz w:val="18"/>
                <w:szCs w:val="18"/>
                <w:lang w:val="es-AR" w:eastAsia="es-AR"/>
              </w:rPr>
            </w:pPr>
            <w:r w:rsidRPr="00AF2F0E">
              <w:rPr>
                <w:rFonts w:ascii="Arial Narrow" w:eastAsia="Times New Roman" w:hAnsi="Arial Narrow" w:cs="Times New Roman"/>
                <w:color w:val="000000"/>
                <w:sz w:val="18"/>
                <w:szCs w:val="18"/>
                <w:lang w:val="es-AR" w:eastAsia="es-AR"/>
              </w:rPr>
              <w:t>GDMT</w:t>
            </w:r>
          </w:p>
        </w:tc>
      </w:tr>
      <w:tr w:rsidR="00681FCD" w:rsidRPr="00AF2F0E" w:rsidTr="00510E2A">
        <w:trPr>
          <w:trHeight w:val="18"/>
        </w:trPr>
        <w:tc>
          <w:tcPr>
            <w:tcW w:w="1161"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681FCD" w:rsidRPr="00AF2F0E" w:rsidRDefault="00681FCD" w:rsidP="00AF2F0E">
            <w:pPr>
              <w:spacing w:after="0" w:line="240" w:lineRule="auto"/>
              <w:jc w:val="center"/>
              <w:rPr>
                <w:rFonts w:ascii="Arial Narrow" w:eastAsia="Times New Roman" w:hAnsi="Arial Narrow" w:cs="Times New Roman"/>
                <w:color w:val="000000"/>
                <w:sz w:val="18"/>
                <w:szCs w:val="18"/>
                <w:lang w:val="es-AR" w:eastAsia="es-AR"/>
              </w:rPr>
            </w:pPr>
            <w:r w:rsidRPr="00AF2F0E">
              <w:rPr>
                <w:rFonts w:ascii="Arial Narrow" w:eastAsia="Times New Roman" w:hAnsi="Arial Narrow" w:cs="Times New Roman"/>
                <w:color w:val="000000"/>
                <w:sz w:val="18"/>
                <w:szCs w:val="18"/>
                <w:lang w:val="es-AR" w:eastAsia="es-AR"/>
              </w:rPr>
              <w:t>Tarifa HMC</w:t>
            </w:r>
          </w:p>
        </w:tc>
        <w:tc>
          <w:tcPr>
            <w:tcW w:w="1811"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681FCD" w:rsidRPr="00AF2F0E" w:rsidRDefault="00681FCD" w:rsidP="00AF2F0E">
            <w:pPr>
              <w:spacing w:after="0" w:line="240" w:lineRule="auto"/>
              <w:jc w:val="center"/>
              <w:rPr>
                <w:rFonts w:ascii="Arial Narrow" w:eastAsia="Times New Roman" w:hAnsi="Arial Narrow" w:cs="Times New Roman"/>
                <w:color w:val="000000"/>
                <w:sz w:val="18"/>
                <w:szCs w:val="18"/>
                <w:lang w:val="es-AR" w:eastAsia="es-AR"/>
              </w:rPr>
            </w:pPr>
            <w:r w:rsidRPr="00AF2F0E">
              <w:rPr>
                <w:rFonts w:ascii="Arial Narrow" w:eastAsia="Times New Roman" w:hAnsi="Arial Narrow" w:cs="Times New Roman"/>
                <w:color w:val="000000"/>
                <w:sz w:val="18"/>
                <w:szCs w:val="18"/>
                <w:lang w:val="es-AR" w:eastAsia="es-AR"/>
              </w:rPr>
              <w:t>GDMT</w:t>
            </w:r>
          </w:p>
        </w:tc>
      </w:tr>
      <w:tr w:rsidR="00681FCD" w:rsidRPr="00AF2F0E" w:rsidTr="00510E2A">
        <w:trPr>
          <w:trHeight w:val="18"/>
        </w:trPr>
        <w:tc>
          <w:tcPr>
            <w:tcW w:w="1161" w:type="dxa"/>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81FCD" w:rsidRPr="00AF2F0E" w:rsidRDefault="00681FCD" w:rsidP="00AF2F0E">
            <w:pPr>
              <w:spacing w:after="0" w:line="240" w:lineRule="auto"/>
              <w:jc w:val="center"/>
              <w:rPr>
                <w:rFonts w:ascii="Arial Narrow" w:eastAsia="Times New Roman" w:hAnsi="Arial Narrow" w:cs="Times New Roman"/>
                <w:color w:val="000000"/>
                <w:sz w:val="18"/>
                <w:szCs w:val="18"/>
                <w:lang w:val="es-AR" w:eastAsia="es-AR"/>
              </w:rPr>
            </w:pPr>
            <w:r w:rsidRPr="00AF2F0E">
              <w:rPr>
                <w:rFonts w:ascii="Arial Narrow" w:eastAsia="Times New Roman" w:hAnsi="Arial Narrow" w:cs="Times New Roman"/>
                <w:color w:val="000000"/>
                <w:sz w:val="18"/>
                <w:szCs w:val="18"/>
                <w:lang w:val="es-AR" w:eastAsia="es-AR"/>
              </w:rPr>
              <w:t>Tarifa OM</w:t>
            </w:r>
          </w:p>
        </w:tc>
        <w:tc>
          <w:tcPr>
            <w:tcW w:w="1811" w:type="dxa"/>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81FCD" w:rsidRPr="00AF2F0E" w:rsidRDefault="00681FCD" w:rsidP="00AF2F0E">
            <w:pPr>
              <w:spacing w:after="0" w:line="240" w:lineRule="auto"/>
              <w:jc w:val="center"/>
              <w:rPr>
                <w:rFonts w:ascii="Arial Narrow" w:eastAsia="Times New Roman" w:hAnsi="Arial Narrow" w:cs="Times New Roman"/>
                <w:color w:val="000000"/>
                <w:sz w:val="18"/>
                <w:szCs w:val="18"/>
                <w:lang w:val="es-AR" w:eastAsia="es-AR"/>
              </w:rPr>
            </w:pPr>
            <w:r w:rsidRPr="00AF2F0E">
              <w:rPr>
                <w:rFonts w:ascii="Arial Narrow" w:eastAsia="Times New Roman" w:hAnsi="Arial Narrow" w:cs="Times New Roman"/>
                <w:color w:val="000000"/>
                <w:sz w:val="18"/>
                <w:szCs w:val="18"/>
                <w:lang w:val="es-AR" w:eastAsia="es-AR"/>
              </w:rPr>
              <w:t>GDMT</w:t>
            </w:r>
          </w:p>
        </w:tc>
      </w:tr>
    </w:tbl>
    <w:p w:rsidR="00681FCD" w:rsidRPr="00DC2417" w:rsidRDefault="00681FCD" w:rsidP="00AF2F0E">
      <w:pPr>
        <w:pStyle w:val="Descripcin"/>
        <w:spacing w:after="120"/>
        <w:jc w:val="center"/>
        <w:rPr>
          <w:sz w:val="20"/>
          <w:szCs w:val="20"/>
        </w:rPr>
      </w:pPr>
      <w:r w:rsidRPr="00DC2417">
        <w:rPr>
          <w:sz w:val="20"/>
          <w:szCs w:val="20"/>
        </w:rPr>
        <w:t xml:space="preserve">Tabla </w:t>
      </w:r>
      <w:r w:rsidRPr="00DC2417">
        <w:rPr>
          <w:sz w:val="20"/>
          <w:szCs w:val="20"/>
        </w:rPr>
        <w:fldChar w:fldCharType="begin"/>
      </w:r>
      <w:r w:rsidRPr="00DC2417">
        <w:rPr>
          <w:sz w:val="20"/>
          <w:szCs w:val="20"/>
        </w:rPr>
        <w:instrText xml:space="preserve"> SEQ Tabla \* ARABIC </w:instrText>
      </w:r>
      <w:r w:rsidRPr="00DC2417">
        <w:rPr>
          <w:sz w:val="20"/>
          <w:szCs w:val="20"/>
        </w:rPr>
        <w:fldChar w:fldCharType="separate"/>
      </w:r>
      <w:r w:rsidR="00E61BAB">
        <w:rPr>
          <w:noProof/>
          <w:sz w:val="20"/>
          <w:szCs w:val="20"/>
        </w:rPr>
        <w:t>7</w:t>
      </w:r>
      <w:r w:rsidRPr="00DC2417">
        <w:rPr>
          <w:sz w:val="20"/>
          <w:szCs w:val="20"/>
        </w:rPr>
        <w:fldChar w:fldCharType="end"/>
      </w:r>
      <w:r w:rsidRPr="00DC2417">
        <w:rPr>
          <w:sz w:val="20"/>
          <w:szCs w:val="20"/>
        </w:rPr>
        <w:t xml:space="preserve">. </w:t>
      </w:r>
      <w:r w:rsidR="00AF2F0E">
        <w:rPr>
          <w:sz w:val="20"/>
          <w:szCs w:val="20"/>
        </w:rPr>
        <w:t>Equivalencia del nuevo cuadro tarifario</w:t>
      </w:r>
    </w:p>
    <w:p w:rsidR="00681FCD" w:rsidRPr="00814C47" w:rsidRDefault="00681FCD" w:rsidP="00814C47">
      <w:pPr>
        <w:spacing w:after="200" w:line="240" w:lineRule="auto"/>
        <w:contextualSpacing/>
        <w:jc w:val="both"/>
        <w:rPr>
          <w:rFonts w:ascii="Arial Narrow" w:hAnsi="Arial Narrow" w:cs="Arial"/>
        </w:rPr>
      </w:pPr>
    </w:p>
    <w:p w:rsidR="00681FCD" w:rsidRPr="00814C47" w:rsidRDefault="00681FCD" w:rsidP="00814C47">
      <w:pPr>
        <w:spacing w:after="200" w:line="240" w:lineRule="auto"/>
        <w:contextualSpacing/>
        <w:jc w:val="both"/>
        <w:rPr>
          <w:rFonts w:ascii="Arial Narrow" w:hAnsi="Arial Narrow" w:cs="Arial"/>
        </w:rPr>
      </w:pPr>
    </w:p>
    <w:p w:rsidR="00681FCD" w:rsidRPr="00814C47" w:rsidRDefault="00681FCD" w:rsidP="00814C47">
      <w:pPr>
        <w:spacing w:after="200" w:line="240" w:lineRule="auto"/>
        <w:contextualSpacing/>
        <w:jc w:val="both"/>
        <w:rPr>
          <w:rFonts w:ascii="Arial Narrow" w:hAnsi="Arial Narrow" w:cs="Arial"/>
        </w:rPr>
      </w:pPr>
    </w:p>
    <w:p w:rsidR="00681FCD" w:rsidRPr="00814C47" w:rsidRDefault="00681FCD" w:rsidP="00814C47">
      <w:pPr>
        <w:spacing w:after="200" w:line="240" w:lineRule="auto"/>
        <w:contextualSpacing/>
        <w:jc w:val="both"/>
        <w:rPr>
          <w:rFonts w:ascii="Arial Narrow" w:hAnsi="Arial Narrow" w:cs="Arial"/>
        </w:rPr>
      </w:pPr>
    </w:p>
    <w:p w:rsidR="00681FCD" w:rsidRPr="00814C47" w:rsidRDefault="00681FCD" w:rsidP="00814C47">
      <w:pPr>
        <w:spacing w:after="200" w:line="240" w:lineRule="auto"/>
        <w:contextualSpacing/>
        <w:jc w:val="both"/>
        <w:rPr>
          <w:rFonts w:ascii="Arial Narrow" w:hAnsi="Arial Narrow" w:cs="Arial"/>
        </w:rPr>
      </w:pPr>
    </w:p>
    <w:p w:rsidR="00681FCD" w:rsidRPr="00814C47" w:rsidRDefault="00681FCD" w:rsidP="00814C47">
      <w:pPr>
        <w:spacing w:after="200" w:line="240" w:lineRule="auto"/>
        <w:contextualSpacing/>
        <w:jc w:val="both"/>
        <w:rPr>
          <w:rFonts w:ascii="Arial Narrow" w:hAnsi="Arial Narrow" w:cs="Arial"/>
        </w:rPr>
      </w:pPr>
    </w:p>
    <w:p w:rsidR="00681FCD" w:rsidRPr="00814C47" w:rsidRDefault="00681FCD" w:rsidP="00814C47">
      <w:pPr>
        <w:spacing w:after="200" w:line="240" w:lineRule="auto"/>
        <w:contextualSpacing/>
        <w:jc w:val="both"/>
        <w:rPr>
          <w:rFonts w:ascii="Arial Narrow" w:hAnsi="Arial Narrow" w:cs="Arial"/>
        </w:rPr>
      </w:pPr>
    </w:p>
    <w:p w:rsidR="00681FCD" w:rsidRPr="00814C47" w:rsidRDefault="00681FCD" w:rsidP="00814C47">
      <w:pPr>
        <w:spacing w:after="200" w:line="240" w:lineRule="auto"/>
        <w:contextualSpacing/>
        <w:jc w:val="both"/>
        <w:rPr>
          <w:rFonts w:ascii="Arial Narrow" w:hAnsi="Arial Narrow" w:cs="Arial"/>
        </w:rPr>
      </w:pPr>
    </w:p>
    <w:p w:rsidR="00681FCD" w:rsidRPr="00814C47" w:rsidRDefault="00681FCD" w:rsidP="00814C47">
      <w:pPr>
        <w:spacing w:after="200" w:line="240" w:lineRule="auto"/>
        <w:contextualSpacing/>
        <w:jc w:val="both"/>
        <w:rPr>
          <w:rFonts w:ascii="Arial Narrow" w:hAnsi="Arial Narrow" w:cs="Arial"/>
        </w:rPr>
      </w:pPr>
    </w:p>
    <w:p w:rsidR="00681FCD" w:rsidRPr="00814C47" w:rsidRDefault="00681FCD" w:rsidP="00814C47">
      <w:pPr>
        <w:spacing w:after="200" w:line="240" w:lineRule="auto"/>
        <w:contextualSpacing/>
        <w:jc w:val="both"/>
        <w:rPr>
          <w:rFonts w:ascii="Arial Narrow" w:hAnsi="Arial Narrow" w:cs="Arial"/>
        </w:rPr>
      </w:pPr>
    </w:p>
    <w:p w:rsidR="00681FCD" w:rsidRPr="00814C47" w:rsidRDefault="00681FCD" w:rsidP="00814C47">
      <w:pPr>
        <w:spacing w:after="200" w:line="240" w:lineRule="auto"/>
        <w:contextualSpacing/>
        <w:jc w:val="both"/>
        <w:rPr>
          <w:rFonts w:ascii="Arial Narrow" w:hAnsi="Arial Narrow" w:cs="Arial"/>
        </w:rPr>
      </w:pPr>
    </w:p>
    <w:p w:rsidR="00681FCD" w:rsidRPr="00814C47" w:rsidRDefault="00681FCD" w:rsidP="00814C47">
      <w:pPr>
        <w:spacing w:after="200" w:line="240" w:lineRule="auto"/>
        <w:contextualSpacing/>
        <w:jc w:val="both"/>
        <w:rPr>
          <w:rFonts w:ascii="Arial Narrow" w:hAnsi="Arial Narrow" w:cs="Arial"/>
        </w:rPr>
      </w:pPr>
    </w:p>
    <w:p w:rsidR="00681FCD" w:rsidRPr="00814C47" w:rsidRDefault="00681FCD" w:rsidP="00814C47">
      <w:pPr>
        <w:spacing w:after="200" w:line="240" w:lineRule="auto"/>
        <w:contextualSpacing/>
        <w:jc w:val="both"/>
        <w:rPr>
          <w:rFonts w:ascii="Arial Narrow" w:hAnsi="Arial Narrow" w:cs="Arial"/>
        </w:rPr>
      </w:pPr>
    </w:p>
    <w:p w:rsidR="00681FCD" w:rsidRPr="00814C47" w:rsidRDefault="00681FCD" w:rsidP="00814C47">
      <w:pPr>
        <w:spacing w:after="200" w:line="240" w:lineRule="auto"/>
        <w:contextualSpacing/>
        <w:jc w:val="both"/>
        <w:rPr>
          <w:rFonts w:ascii="Arial Narrow" w:hAnsi="Arial Narrow" w:cs="Arial"/>
        </w:rPr>
      </w:pPr>
    </w:p>
    <w:p w:rsidR="00681FCD" w:rsidRPr="00814C47" w:rsidRDefault="00681FCD" w:rsidP="00814C47">
      <w:pPr>
        <w:spacing w:after="200" w:line="240" w:lineRule="auto"/>
        <w:contextualSpacing/>
        <w:jc w:val="both"/>
        <w:rPr>
          <w:rFonts w:ascii="Arial Narrow" w:hAnsi="Arial Narrow" w:cs="Arial"/>
        </w:rPr>
      </w:pPr>
    </w:p>
    <w:p w:rsidR="00681FCD" w:rsidRPr="00814C47" w:rsidRDefault="00681FCD" w:rsidP="00814C47">
      <w:pPr>
        <w:spacing w:after="200" w:line="240" w:lineRule="auto"/>
        <w:contextualSpacing/>
        <w:jc w:val="both"/>
        <w:rPr>
          <w:rFonts w:ascii="Arial Narrow" w:hAnsi="Arial Narrow" w:cs="Arial"/>
        </w:rPr>
      </w:pPr>
    </w:p>
    <w:p w:rsidR="00681FCD" w:rsidRPr="00814C47" w:rsidRDefault="00681FCD" w:rsidP="00814C47">
      <w:pPr>
        <w:spacing w:after="200" w:line="240" w:lineRule="auto"/>
        <w:contextualSpacing/>
        <w:jc w:val="both"/>
        <w:rPr>
          <w:rFonts w:ascii="Arial Narrow" w:hAnsi="Arial Narrow" w:cs="Arial"/>
        </w:rPr>
      </w:pPr>
    </w:p>
    <w:p w:rsidR="00E60502" w:rsidRDefault="00E60502" w:rsidP="00814C47">
      <w:pPr>
        <w:spacing w:after="200" w:line="240" w:lineRule="auto"/>
        <w:contextualSpacing/>
        <w:jc w:val="both"/>
        <w:rPr>
          <w:rFonts w:ascii="Arial Narrow" w:hAnsi="Arial Narrow" w:cs="Arial"/>
        </w:rPr>
      </w:pPr>
    </w:p>
    <w:p w:rsidR="00720DC5" w:rsidRPr="00814C47" w:rsidRDefault="00720DC5" w:rsidP="00814C47">
      <w:pPr>
        <w:spacing w:after="200" w:line="240" w:lineRule="auto"/>
        <w:contextualSpacing/>
        <w:jc w:val="both"/>
        <w:rPr>
          <w:rFonts w:ascii="Arial Narrow" w:hAnsi="Arial Narrow" w:cs="Arial"/>
        </w:rPr>
      </w:pPr>
    </w:p>
    <w:p w:rsidR="009D4C13" w:rsidRPr="00AF79A3" w:rsidRDefault="00FA3945" w:rsidP="00AF79A3">
      <w:pPr>
        <w:pStyle w:val="Prrafodelista"/>
        <w:keepNext/>
        <w:keepLines/>
        <w:numPr>
          <w:ilvl w:val="1"/>
          <w:numId w:val="15"/>
        </w:numPr>
        <w:spacing w:after="0" w:line="240" w:lineRule="auto"/>
        <w:ind w:left="360"/>
        <w:jc w:val="both"/>
        <w:outlineLvl w:val="0"/>
        <w:rPr>
          <w:rFonts w:ascii="Arial Narrow" w:eastAsiaTheme="majorEastAsia" w:hAnsi="Arial Narrow" w:cstheme="majorBidi"/>
          <w:b/>
          <w:bCs/>
          <w:color w:val="000000" w:themeColor="text1"/>
        </w:rPr>
      </w:pPr>
      <w:r w:rsidRPr="00AF2F0E">
        <w:rPr>
          <w:rFonts w:ascii="Arial Narrow" w:eastAsiaTheme="majorEastAsia" w:hAnsi="Arial Narrow" w:cstheme="majorBidi"/>
          <w:b/>
          <w:bCs/>
          <w:color w:val="000000" w:themeColor="text1"/>
        </w:rPr>
        <w:t>Metodología tarifaria</w:t>
      </w:r>
      <w:r w:rsidR="00C47006" w:rsidRPr="00AF2F0E">
        <w:rPr>
          <w:rFonts w:ascii="Arial Narrow" w:eastAsiaTheme="majorEastAsia" w:hAnsi="Arial Narrow" w:cstheme="majorBidi"/>
          <w:b/>
          <w:bCs/>
          <w:color w:val="000000" w:themeColor="text1"/>
        </w:rPr>
        <w:t xml:space="preserve"> </w:t>
      </w:r>
    </w:p>
    <w:p w:rsidR="00FA3945" w:rsidRPr="00814C47" w:rsidRDefault="001726B6" w:rsidP="00814C47">
      <w:pPr>
        <w:spacing w:line="240" w:lineRule="auto"/>
        <w:jc w:val="both"/>
        <w:rPr>
          <w:rFonts w:ascii="Arial Narrow" w:hAnsi="Arial Narrow"/>
        </w:rPr>
      </w:pPr>
      <w:r>
        <w:rPr>
          <w:rFonts w:ascii="Arial Narrow" w:hAnsi="Arial Narrow"/>
        </w:rPr>
        <w:t>El IR</w:t>
      </w:r>
      <w:r w:rsidR="00FA3945" w:rsidRPr="00814C47">
        <w:rPr>
          <w:rFonts w:ascii="Arial Narrow" w:hAnsi="Arial Narrow"/>
        </w:rPr>
        <w:t xml:space="preserve"> para la </w:t>
      </w:r>
      <w:r>
        <w:rPr>
          <w:rFonts w:ascii="Arial Narrow" w:hAnsi="Arial Narrow"/>
        </w:rPr>
        <w:t>actividad de Distribución fue</w:t>
      </w:r>
      <w:r w:rsidR="00BA6EEC">
        <w:rPr>
          <w:rFonts w:ascii="Arial Narrow" w:hAnsi="Arial Narrow"/>
        </w:rPr>
        <w:t xml:space="preserve"> asignado</w:t>
      </w:r>
      <w:r w:rsidR="00FA3945" w:rsidRPr="00814C47">
        <w:rPr>
          <w:rFonts w:ascii="Arial Narrow" w:hAnsi="Arial Narrow"/>
        </w:rPr>
        <w:t xml:space="preserve"> sobre la base de tarifas económicas utilizando la metodología de asignación por picos no coincidentes. La metodología de picos no coincidentes es aquella por la cual se reparten los costos a pagar según la demanda máxima de potencia de las distintas categorías tarifarias de acuerdo </w:t>
      </w:r>
      <w:r w:rsidR="00260865">
        <w:rPr>
          <w:rFonts w:ascii="Arial Narrow" w:hAnsi="Arial Narrow"/>
        </w:rPr>
        <w:t>con</w:t>
      </w:r>
      <w:r w:rsidR="00FA3945" w:rsidRPr="00814C47">
        <w:rPr>
          <w:rFonts w:ascii="Arial Narrow" w:hAnsi="Arial Narrow"/>
        </w:rPr>
        <w:t xml:space="preserve"> los resultados obtenidos del balance de potencia.</w:t>
      </w:r>
    </w:p>
    <w:p w:rsidR="00FA3945" w:rsidRPr="00814C47" w:rsidRDefault="00FA3945" w:rsidP="00814C47">
      <w:pPr>
        <w:spacing w:line="240" w:lineRule="auto"/>
        <w:jc w:val="both"/>
        <w:rPr>
          <w:rFonts w:ascii="Arial Narrow" w:hAnsi="Arial Narrow"/>
        </w:rPr>
      </w:pPr>
      <w:r w:rsidRPr="00814C47">
        <w:rPr>
          <w:rFonts w:ascii="Arial Narrow" w:hAnsi="Arial Narrow"/>
        </w:rPr>
        <w:t>Se define como punta de un nivel de tensión el periodo de tiempo, normalmente medido en horas o períodos de quince minutos, en el que, de acuerdo al balance de potencia, medido con fines tarifarios, se produce la máxima demanda de potencia.</w:t>
      </w:r>
    </w:p>
    <w:p w:rsidR="00C47006" w:rsidRPr="001726B6" w:rsidRDefault="00FA3945" w:rsidP="001726B6">
      <w:pPr>
        <w:spacing w:line="240" w:lineRule="auto"/>
        <w:jc w:val="both"/>
        <w:rPr>
          <w:rFonts w:ascii="Arial Narrow" w:hAnsi="Arial Narrow"/>
        </w:rPr>
      </w:pPr>
      <w:r w:rsidRPr="00814C47">
        <w:rPr>
          <w:rFonts w:ascii="Arial Narrow" w:hAnsi="Arial Narrow"/>
        </w:rPr>
        <w:t>Por ejemplo, asumiendo que se di</w:t>
      </w:r>
      <w:r w:rsidR="001726B6">
        <w:rPr>
          <w:rFonts w:ascii="Arial Narrow" w:hAnsi="Arial Narrow"/>
        </w:rPr>
        <w:t xml:space="preserve">spone de un monto de dinero a asignar </w:t>
      </w:r>
      <w:r w:rsidRPr="00814C47">
        <w:rPr>
          <w:rFonts w:ascii="Arial Narrow" w:hAnsi="Arial Narrow"/>
        </w:rPr>
        <w:t>entre d</w:t>
      </w:r>
      <w:r w:rsidR="00AF2F0E">
        <w:rPr>
          <w:rFonts w:ascii="Arial Narrow" w:hAnsi="Arial Narrow"/>
        </w:rPr>
        <w:t xml:space="preserve">os categorías tarifarias A y B </w:t>
      </w:r>
      <w:r w:rsidR="00DC2417">
        <w:rPr>
          <w:rFonts w:ascii="Arial Narrow" w:hAnsi="Arial Narrow"/>
        </w:rPr>
        <w:t>e</w:t>
      </w:r>
      <w:r w:rsidRPr="00814C47">
        <w:rPr>
          <w:rFonts w:ascii="Arial Narrow" w:hAnsi="Arial Narrow"/>
        </w:rPr>
        <w:t>n un mismo nivel de tensión, la responsabilidad en el uso del sistema y por tanto el cargo tarifario de los usuarios A y B está dada por su máxima demanda, es decir, el monto a asignar del ingreso requerido es pro</w:t>
      </w:r>
      <w:r w:rsidR="001726B6">
        <w:rPr>
          <w:rFonts w:ascii="Arial Narrow" w:hAnsi="Arial Narrow"/>
        </w:rPr>
        <w:t xml:space="preserve">porcional a su máxima demanda. </w:t>
      </w:r>
    </w:p>
    <w:p w:rsidR="00E60502" w:rsidRPr="00AF79A3" w:rsidRDefault="00C47006" w:rsidP="00AF79A3">
      <w:pPr>
        <w:pStyle w:val="Prrafodelista"/>
        <w:keepNext/>
        <w:keepLines/>
        <w:numPr>
          <w:ilvl w:val="1"/>
          <w:numId w:val="15"/>
        </w:numPr>
        <w:spacing w:after="0" w:line="240" w:lineRule="auto"/>
        <w:ind w:left="360"/>
        <w:jc w:val="both"/>
        <w:outlineLvl w:val="0"/>
        <w:rPr>
          <w:rFonts w:ascii="Arial Narrow" w:eastAsiaTheme="majorEastAsia" w:hAnsi="Arial Narrow" w:cstheme="majorBidi"/>
          <w:b/>
          <w:bCs/>
          <w:color w:val="000000" w:themeColor="text1"/>
        </w:rPr>
      </w:pPr>
      <w:r w:rsidRPr="00AF2F0E">
        <w:rPr>
          <w:rFonts w:ascii="Arial Narrow" w:eastAsiaTheme="majorEastAsia" w:hAnsi="Arial Narrow" w:cstheme="majorBidi"/>
          <w:b/>
          <w:bCs/>
          <w:color w:val="000000" w:themeColor="text1"/>
        </w:rPr>
        <w:t>Tarifas</w:t>
      </w:r>
    </w:p>
    <w:p w:rsidR="00AF2F0E" w:rsidRDefault="00C47006" w:rsidP="00AF79A3">
      <w:pPr>
        <w:spacing w:after="200" w:line="240" w:lineRule="auto"/>
        <w:contextualSpacing/>
        <w:jc w:val="both"/>
        <w:rPr>
          <w:rFonts w:ascii="Arial Narrow" w:hAnsi="Arial Narrow"/>
        </w:rPr>
      </w:pPr>
      <w:r w:rsidRPr="00814C47">
        <w:rPr>
          <w:rFonts w:ascii="Arial Narrow" w:hAnsi="Arial Narrow"/>
        </w:rPr>
        <w:t>U</w:t>
      </w:r>
      <w:r w:rsidR="001726B6">
        <w:rPr>
          <w:rFonts w:ascii="Arial Narrow" w:hAnsi="Arial Narrow"/>
        </w:rPr>
        <w:t>na vez descrita la metodología de asignación</w:t>
      </w:r>
      <w:r w:rsidRPr="00814C47">
        <w:rPr>
          <w:rFonts w:ascii="Arial Narrow" w:hAnsi="Arial Narrow"/>
        </w:rPr>
        <w:t xml:space="preserve"> para cada grupo tarifario se obtienen las tarifas de distribució</w:t>
      </w:r>
      <w:r w:rsidR="00AF2F0E">
        <w:rPr>
          <w:rFonts w:ascii="Arial Narrow" w:hAnsi="Arial Narrow"/>
        </w:rPr>
        <w:t xml:space="preserve">n aplicables para el año 2016. </w:t>
      </w:r>
      <w:r w:rsidRPr="00814C47">
        <w:rPr>
          <w:rFonts w:ascii="Arial Narrow" w:hAnsi="Arial Narrow"/>
        </w:rPr>
        <w:t>Estas tarifas permiten al distribuidor recuperar sus costos de explotación y capital sin cons</w:t>
      </w:r>
      <w:r w:rsidR="00AF7E8C">
        <w:rPr>
          <w:rFonts w:ascii="Arial Narrow" w:hAnsi="Arial Narrow"/>
        </w:rPr>
        <w:t>iderar las pérdidas de energía.</w:t>
      </w:r>
    </w:p>
    <w:p w:rsidR="00260865" w:rsidRDefault="00260865" w:rsidP="00AF79A3">
      <w:pPr>
        <w:spacing w:after="200" w:line="240" w:lineRule="auto"/>
        <w:contextualSpacing/>
        <w:jc w:val="both"/>
        <w:rPr>
          <w:rFonts w:ascii="Arial Narrow" w:hAnsi="Arial Narrow"/>
        </w:rPr>
      </w:pPr>
    </w:p>
    <w:p w:rsidR="00260865" w:rsidRDefault="00260865" w:rsidP="00AF79A3">
      <w:pPr>
        <w:spacing w:after="200" w:line="240" w:lineRule="auto"/>
        <w:contextualSpacing/>
        <w:jc w:val="both"/>
        <w:rPr>
          <w:rFonts w:ascii="Arial Narrow" w:hAnsi="Arial Narrow"/>
        </w:rPr>
      </w:pPr>
    </w:p>
    <w:p w:rsidR="00260865" w:rsidRDefault="00260865" w:rsidP="00AF79A3">
      <w:pPr>
        <w:spacing w:after="200" w:line="240" w:lineRule="auto"/>
        <w:contextualSpacing/>
        <w:jc w:val="both"/>
        <w:rPr>
          <w:rFonts w:ascii="Arial Narrow" w:hAnsi="Arial Narrow"/>
        </w:rPr>
      </w:pPr>
    </w:p>
    <w:p w:rsidR="00260865" w:rsidRDefault="00260865" w:rsidP="00AF79A3">
      <w:pPr>
        <w:spacing w:after="200" w:line="240" w:lineRule="auto"/>
        <w:contextualSpacing/>
        <w:jc w:val="both"/>
        <w:rPr>
          <w:rFonts w:ascii="Arial Narrow" w:hAnsi="Arial Narrow"/>
        </w:rPr>
      </w:pPr>
    </w:p>
    <w:p w:rsidR="00260865" w:rsidRDefault="00260865" w:rsidP="00AF79A3">
      <w:pPr>
        <w:spacing w:after="200" w:line="240" w:lineRule="auto"/>
        <w:contextualSpacing/>
        <w:jc w:val="both"/>
        <w:rPr>
          <w:rFonts w:ascii="Arial Narrow" w:hAnsi="Arial Narrow"/>
        </w:rPr>
      </w:pPr>
    </w:p>
    <w:p w:rsidR="00260865" w:rsidRDefault="00260865" w:rsidP="00AF79A3">
      <w:pPr>
        <w:spacing w:after="200" w:line="240" w:lineRule="auto"/>
        <w:contextualSpacing/>
        <w:jc w:val="both"/>
        <w:rPr>
          <w:rFonts w:ascii="Arial Narrow" w:hAnsi="Arial Narrow"/>
        </w:rPr>
      </w:pPr>
    </w:p>
    <w:p w:rsidR="00260865" w:rsidRDefault="00260865" w:rsidP="00AF79A3">
      <w:pPr>
        <w:spacing w:after="200" w:line="240" w:lineRule="auto"/>
        <w:contextualSpacing/>
        <w:jc w:val="both"/>
        <w:rPr>
          <w:rFonts w:ascii="Arial Narrow" w:hAnsi="Arial Narrow"/>
        </w:rPr>
      </w:pPr>
    </w:p>
    <w:p w:rsidR="00260865" w:rsidRDefault="00260865" w:rsidP="00AF79A3">
      <w:pPr>
        <w:spacing w:after="200" w:line="240" w:lineRule="auto"/>
        <w:contextualSpacing/>
        <w:jc w:val="both"/>
        <w:rPr>
          <w:rFonts w:ascii="Arial Narrow" w:hAnsi="Arial Narrow"/>
        </w:rPr>
      </w:pPr>
    </w:p>
    <w:p w:rsidR="00260865" w:rsidRDefault="00260865" w:rsidP="00AF79A3">
      <w:pPr>
        <w:spacing w:after="200" w:line="240" w:lineRule="auto"/>
        <w:contextualSpacing/>
        <w:jc w:val="both"/>
        <w:rPr>
          <w:rFonts w:ascii="Arial Narrow" w:hAnsi="Arial Narrow"/>
        </w:rPr>
      </w:pPr>
    </w:p>
    <w:p w:rsidR="00260865" w:rsidRDefault="00260865" w:rsidP="00AF79A3">
      <w:pPr>
        <w:spacing w:after="200" w:line="240" w:lineRule="auto"/>
        <w:contextualSpacing/>
        <w:jc w:val="both"/>
        <w:rPr>
          <w:rFonts w:ascii="Arial Narrow" w:hAnsi="Arial Narrow"/>
        </w:rPr>
      </w:pPr>
    </w:p>
    <w:p w:rsidR="00260865" w:rsidRDefault="00260865" w:rsidP="00AF79A3">
      <w:pPr>
        <w:spacing w:after="200" w:line="240" w:lineRule="auto"/>
        <w:contextualSpacing/>
        <w:jc w:val="both"/>
        <w:rPr>
          <w:sz w:val="20"/>
          <w:szCs w:val="20"/>
        </w:rPr>
      </w:pPr>
    </w:p>
    <w:p w:rsidR="001A7EB4" w:rsidRPr="001A7EB4" w:rsidRDefault="00223D68" w:rsidP="00AF79A3">
      <w:pPr>
        <w:pStyle w:val="Descripcin"/>
        <w:spacing w:after="120"/>
        <w:jc w:val="center"/>
        <w:rPr>
          <w:sz w:val="20"/>
          <w:szCs w:val="20"/>
        </w:rPr>
      </w:pPr>
      <w:r w:rsidRPr="00DC2417">
        <w:rPr>
          <w:sz w:val="20"/>
          <w:szCs w:val="20"/>
        </w:rPr>
        <w:lastRenderedPageBreak/>
        <w:t xml:space="preserve">Tabla </w:t>
      </w:r>
      <w:r w:rsidRPr="00DC2417">
        <w:rPr>
          <w:sz w:val="20"/>
          <w:szCs w:val="20"/>
        </w:rPr>
        <w:fldChar w:fldCharType="begin"/>
      </w:r>
      <w:r w:rsidRPr="00DC2417">
        <w:rPr>
          <w:sz w:val="20"/>
          <w:szCs w:val="20"/>
        </w:rPr>
        <w:instrText xml:space="preserve"> SEQ Tabla \* ARABIC </w:instrText>
      </w:r>
      <w:r w:rsidRPr="00DC2417">
        <w:rPr>
          <w:sz w:val="20"/>
          <w:szCs w:val="20"/>
        </w:rPr>
        <w:fldChar w:fldCharType="separate"/>
      </w:r>
      <w:r w:rsidR="00E61BAB">
        <w:rPr>
          <w:noProof/>
          <w:sz w:val="20"/>
          <w:szCs w:val="20"/>
        </w:rPr>
        <w:t>8</w:t>
      </w:r>
      <w:r w:rsidRPr="00DC2417">
        <w:rPr>
          <w:sz w:val="20"/>
          <w:szCs w:val="20"/>
        </w:rPr>
        <w:fldChar w:fldCharType="end"/>
      </w:r>
      <w:r w:rsidRPr="00DC2417">
        <w:rPr>
          <w:sz w:val="20"/>
          <w:szCs w:val="20"/>
        </w:rPr>
        <w:t>. Ta</w:t>
      </w:r>
      <w:r w:rsidR="00082F7D">
        <w:rPr>
          <w:sz w:val="20"/>
          <w:szCs w:val="20"/>
        </w:rPr>
        <w:t>rifas aprobadas Acuerdo A/074</w:t>
      </w:r>
      <w:r w:rsidRPr="00DC2417">
        <w:rPr>
          <w:sz w:val="20"/>
          <w:szCs w:val="20"/>
        </w:rPr>
        <w:t>/2015</w:t>
      </w:r>
    </w:p>
    <w:tbl>
      <w:tblPr>
        <w:tblW w:w="0" w:type="auto"/>
        <w:tblCellMar>
          <w:left w:w="0" w:type="dxa"/>
          <w:right w:w="0" w:type="dxa"/>
        </w:tblCellMar>
        <w:tblLook w:val="0600" w:firstRow="0" w:lastRow="0" w:firstColumn="0" w:lastColumn="0" w:noHBand="1" w:noVBand="1"/>
      </w:tblPr>
      <w:tblGrid>
        <w:gridCol w:w="1795"/>
        <w:gridCol w:w="1406"/>
        <w:gridCol w:w="1407"/>
        <w:gridCol w:w="1406"/>
        <w:gridCol w:w="1407"/>
        <w:gridCol w:w="1407"/>
      </w:tblGrid>
      <w:tr w:rsidR="00AF79A3" w:rsidRPr="00AF2F0E" w:rsidTr="00AF79A3">
        <w:trPr>
          <w:trHeight w:val="227"/>
        </w:trPr>
        <w:tc>
          <w:tcPr>
            <w:tcW w:w="1795" w:type="dxa"/>
            <w:tcBorders>
              <w:top w:val="single" w:sz="4" w:space="0" w:color="auto"/>
              <w:left w:val="single" w:sz="4" w:space="0" w:color="auto"/>
              <w:bottom w:val="single" w:sz="4" w:space="0" w:color="auto"/>
              <w:right w:val="single" w:sz="4" w:space="0" w:color="auto"/>
            </w:tcBorders>
            <w:shd w:val="clear" w:color="auto" w:fill="365F91" w:themeFill="accent1" w:themeFillShade="BF"/>
            <w:tcMar>
              <w:top w:w="15" w:type="dxa"/>
              <w:left w:w="15" w:type="dxa"/>
              <w:bottom w:w="0" w:type="dxa"/>
              <w:right w:w="15" w:type="dxa"/>
            </w:tcMar>
            <w:vAlign w:val="center"/>
            <w:hideMark/>
          </w:tcPr>
          <w:p w:rsidR="00AF79A3" w:rsidRPr="00AF2F0E" w:rsidRDefault="00AF79A3" w:rsidP="00AF79A3">
            <w:pPr>
              <w:spacing w:after="0" w:line="240" w:lineRule="auto"/>
              <w:ind w:firstLine="90"/>
              <w:jc w:val="center"/>
              <w:rPr>
                <w:rFonts w:ascii="Arial Narrow" w:eastAsia="Calibri" w:hAnsi="Arial Narrow" w:cs="Times New Roman"/>
                <w:b/>
                <w:bCs/>
                <w:color w:val="FFFFFF"/>
                <w:sz w:val="18"/>
                <w:szCs w:val="18"/>
              </w:rPr>
            </w:pPr>
            <w:r>
              <w:rPr>
                <w:rFonts w:ascii="Arial Narrow" w:eastAsia="Calibri" w:hAnsi="Arial Narrow" w:cs="Times New Roman"/>
                <w:b/>
                <w:bCs/>
                <w:color w:val="FFFFFF"/>
                <w:sz w:val="18"/>
                <w:szCs w:val="18"/>
              </w:rPr>
              <w:t>División</w:t>
            </w:r>
            <w:r w:rsidRPr="00AF2F0E">
              <w:rPr>
                <w:rFonts w:ascii="Arial Narrow" w:eastAsia="Calibri" w:hAnsi="Arial Narrow" w:cs="Times New Roman"/>
                <w:b/>
                <w:bCs/>
                <w:color w:val="FFFFFF"/>
                <w:sz w:val="18"/>
                <w:szCs w:val="18"/>
              </w:rPr>
              <w:t xml:space="preserve"> de Distribución</w:t>
            </w:r>
          </w:p>
        </w:tc>
        <w:tc>
          <w:tcPr>
            <w:tcW w:w="1406" w:type="dxa"/>
            <w:tcBorders>
              <w:top w:val="single" w:sz="4" w:space="0" w:color="auto"/>
              <w:left w:val="single" w:sz="4" w:space="0" w:color="auto"/>
              <w:bottom w:val="single" w:sz="4" w:space="0" w:color="auto"/>
              <w:right w:val="single" w:sz="4" w:space="0" w:color="auto"/>
            </w:tcBorders>
            <w:shd w:val="clear" w:color="auto" w:fill="365F91" w:themeFill="accent1" w:themeFillShade="BF"/>
            <w:tcMar>
              <w:top w:w="15" w:type="dxa"/>
              <w:left w:w="15" w:type="dxa"/>
              <w:bottom w:w="0" w:type="dxa"/>
              <w:right w:w="15" w:type="dxa"/>
            </w:tcMar>
            <w:vAlign w:val="center"/>
            <w:hideMark/>
          </w:tcPr>
          <w:p w:rsidR="00AF79A3" w:rsidRDefault="00AF79A3" w:rsidP="00AF79A3">
            <w:pPr>
              <w:spacing w:after="0" w:line="240" w:lineRule="auto"/>
              <w:jc w:val="center"/>
              <w:rPr>
                <w:rFonts w:ascii="Arial Narrow" w:eastAsia="Calibri" w:hAnsi="Arial Narrow" w:cs="Times New Roman"/>
                <w:b/>
                <w:color w:val="FFFFFF"/>
                <w:sz w:val="18"/>
                <w:szCs w:val="18"/>
              </w:rPr>
            </w:pPr>
            <w:r w:rsidRPr="00AF2F0E">
              <w:rPr>
                <w:rFonts w:ascii="Arial Narrow" w:eastAsia="Calibri" w:hAnsi="Arial Narrow" w:cs="Times New Roman"/>
                <w:b/>
                <w:color w:val="FFFFFF"/>
                <w:sz w:val="18"/>
                <w:szCs w:val="18"/>
              </w:rPr>
              <w:t>DB1</w:t>
            </w:r>
          </w:p>
          <w:p w:rsidR="00AF79A3" w:rsidRPr="00AF2F0E" w:rsidRDefault="00AF79A3" w:rsidP="00AF79A3">
            <w:pPr>
              <w:spacing w:after="0" w:line="240" w:lineRule="auto"/>
              <w:jc w:val="center"/>
              <w:rPr>
                <w:rFonts w:ascii="Arial Narrow" w:eastAsia="Calibri" w:hAnsi="Arial Narrow" w:cs="Times New Roman"/>
                <w:color w:val="FFFFFF"/>
                <w:sz w:val="18"/>
                <w:szCs w:val="18"/>
              </w:rPr>
            </w:pPr>
            <w:r w:rsidRPr="00AF2F0E">
              <w:rPr>
                <w:rFonts w:ascii="Arial Narrow" w:eastAsia="Calibri" w:hAnsi="Arial Narrow" w:cs="Times New Roman"/>
                <w:b/>
                <w:color w:val="FFFFFF"/>
                <w:sz w:val="18"/>
                <w:szCs w:val="18"/>
              </w:rPr>
              <w:t>Doméstico Baja tensión hasta 150 kWh-mes</w:t>
            </w:r>
          </w:p>
        </w:tc>
        <w:tc>
          <w:tcPr>
            <w:tcW w:w="1407"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AF79A3" w:rsidRPr="00AF2F0E" w:rsidRDefault="00AF79A3" w:rsidP="00AF79A3">
            <w:pPr>
              <w:spacing w:after="0" w:line="240" w:lineRule="auto"/>
              <w:jc w:val="center"/>
              <w:rPr>
                <w:rFonts w:ascii="Arial Narrow" w:eastAsia="Calibri" w:hAnsi="Arial Narrow" w:cs="Times New Roman"/>
                <w:b/>
                <w:bCs/>
                <w:color w:val="FFFFFF"/>
                <w:sz w:val="18"/>
                <w:szCs w:val="18"/>
              </w:rPr>
            </w:pPr>
            <w:r w:rsidRPr="00AF2F0E">
              <w:rPr>
                <w:rFonts w:ascii="Arial Narrow" w:eastAsia="Calibri" w:hAnsi="Arial Narrow" w:cs="Times New Roman"/>
                <w:b/>
                <w:bCs/>
                <w:color w:val="FFFFFF"/>
                <w:sz w:val="18"/>
                <w:szCs w:val="18"/>
              </w:rPr>
              <w:t>DB2</w:t>
            </w:r>
          </w:p>
          <w:p w:rsidR="00AF79A3" w:rsidRPr="00AF2F0E" w:rsidRDefault="00AF79A3" w:rsidP="00AF79A3">
            <w:pPr>
              <w:spacing w:after="0" w:line="240" w:lineRule="auto"/>
              <w:ind w:firstLine="90"/>
              <w:jc w:val="center"/>
              <w:rPr>
                <w:rFonts w:ascii="Arial Narrow" w:eastAsia="Calibri" w:hAnsi="Arial Narrow" w:cs="Times New Roman"/>
                <w:b/>
                <w:bCs/>
                <w:color w:val="FFFFFF"/>
                <w:sz w:val="18"/>
                <w:szCs w:val="18"/>
              </w:rPr>
            </w:pPr>
            <w:r w:rsidRPr="00AF2F0E">
              <w:rPr>
                <w:rFonts w:ascii="Arial Narrow" w:eastAsia="Calibri" w:hAnsi="Arial Narrow" w:cs="Times New Roman"/>
                <w:b/>
                <w:bCs/>
                <w:color w:val="FFFFFF"/>
                <w:sz w:val="18"/>
                <w:szCs w:val="18"/>
              </w:rPr>
              <w:t>Doméstico Baja tensión mayor 150</w:t>
            </w:r>
          </w:p>
          <w:p w:rsidR="00AF79A3" w:rsidRPr="00AF2F0E" w:rsidRDefault="00AF79A3" w:rsidP="00AF79A3">
            <w:pPr>
              <w:spacing w:after="0" w:line="240" w:lineRule="auto"/>
              <w:ind w:firstLine="90"/>
              <w:jc w:val="center"/>
              <w:rPr>
                <w:rFonts w:ascii="Arial Narrow" w:eastAsia="Calibri" w:hAnsi="Arial Narrow" w:cs="Times New Roman"/>
                <w:b/>
                <w:bCs/>
                <w:color w:val="FFFFFF"/>
                <w:sz w:val="18"/>
                <w:szCs w:val="18"/>
              </w:rPr>
            </w:pPr>
            <w:r w:rsidRPr="00AF2F0E">
              <w:rPr>
                <w:rFonts w:ascii="Arial Narrow" w:eastAsia="Calibri" w:hAnsi="Arial Narrow" w:cs="Times New Roman"/>
                <w:b/>
                <w:bCs/>
                <w:color w:val="FFFFFF"/>
                <w:sz w:val="18"/>
                <w:szCs w:val="18"/>
              </w:rPr>
              <w:t>KWh-mes</w:t>
            </w:r>
          </w:p>
        </w:tc>
        <w:tc>
          <w:tcPr>
            <w:tcW w:w="140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AF79A3" w:rsidRPr="00AF2F0E" w:rsidRDefault="00AF79A3" w:rsidP="00AF79A3">
            <w:pPr>
              <w:spacing w:after="0" w:line="240" w:lineRule="auto"/>
              <w:jc w:val="center"/>
              <w:rPr>
                <w:rFonts w:ascii="Arial Narrow" w:eastAsia="Calibri" w:hAnsi="Arial Narrow" w:cs="Times New Roman"/>
                <w:b/>
                <w:bCs/>
                <w:color w:val="FFFFFF"/>
                <w:sz w:val="18"/>
                <w:szCs w:val="18"/>
              </w:rPr>
            </w:pPr>
            <w:r w:rsidRPr="00AF2F0E">
              <w:rPr>
                <w:rFonts w:ascii="Arial Narrow" w:eastAsia="Calibri" w:hAnsi="Arial Narrow" w:cs="Times New Roman"/>
                <w:b/>
                <w:bCs/>
                <w:color w:val="FFFFFF"/>
                <w:sz w:val="18"/>
                <w:szCs w:val="18"/>
              </w:rPr>
              <w:t>PDBT</w:t>
            </w:r>
          </w:p>
          <w:p w:rsidR="00AF79A3" w:rsidRPr="00AF2F0E" w:rsidRDefault="00AF79A3" w:rsidP="00AF79A3">
            <w:pPr>
              <w:spacing w:after="0" w:line="240" w:lineRule="auto"/>
              <w:ind w:firstLine="90"/>
              <w:jc w:val="center"/>
              <w:rPr>
                <w:rFonts w:ascii="Arial Narrow" w:eastAsia="Calibri" w:hAnsi="Arial Narrow" w:cs="Times New Roman"/>
                <w:b/>
                <w:bCs/>
                <w:color w:val="FFFFFF"/>
                <w:sz w:val="18"/>
                <w:szCs w:val="18"/>
              </w:rPr>
            </w:pPr>
            <w:r w:rsidRPr="00AF2F0E">
              <w:rPr>
                <w:rFonts w:ascii="Arial Narrow" w:eastAsia="Calibri" w:hAnsi="Arial Narrow" w:cs="Times New Roman"/>
                <w:b/>
                <w:bCs/>
                <w:color w:val="FFFFFF"/>
                <w:sz w:val="18"/>
                <w:szCs w:val="18"/>
              </w:rPr>
              <w:t>Pequeña demanda baja tensión hasta 25 KW-mes</w:t>
            </w:r>
          </w:p>
        </w:tc>
        <w:tc>
          <w:tcPr>
            <w:tcW w:w="1407"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AF79A3" w:rsidRDefault="00AF79A3" w:rsidP="00AF79A3">
            <w:pPr>
              <w:spacing w:after="0" w:line="240" w:lineRule="auto"/>
              <w:jc w:val="center"/>
              <w:rPr>
                <w:rFonts w:ascii="Arial Narrow" w:eastAsia="Calibri" w:hAnsi="Arial Narrow" w:cs="Times New Roman"/>
                <w:b/>
                <w:bCs/>
                <w:color w:val="FFFFFF"/>
                <w:sz w:val="18"/>
                <w:szCs w:val="18"/>
              </w:rPr>
            </w:pPr>
            <w:r w:rsidRPr="00AF2F0E">
              <w:rPr>
                <w:rFonts w:ascii="Arial Narrow" w:eastAsia="Calibri" w:hAnsi="Arial Narrow" w:cs="Times New Roman"/>
                <w:b/>
                <w:bCs/>
                <w:color w:val="FFFFFF"/>
                <w:sz w:val="18"/>
                <w:szCs w:val="18"/>
              </w:rPr>
              <w:t>GDBT</w:t>
            </w:r>
          </w:p>
          <w:p w:rsidR="00AF79A3" w:rsidRPr="00AF2F0E" w:rsidRDefault="00AF79A3" w:rsidP="00AF79A3">
            <w:pPr>
              <w:spacing w:after="0" w:line="240" w:lineRule="auto"/>
              <w:jc w:val="center"/>
              <w:rPr>
                <w:rFonts w:ascii="Arial Narrow" w:eastAsia="Calibri" w:hAnsi="Arial Narrow" w:cs="Times New Roman"/>
                <w:b/>
                <w:bCs/>
                <w:color w:val="FFFFFF"/>
                <w:sz w:val="18"/>
                <w:szCs w:val="18"/>
              </w:rPr>
            </w:pPr>
            <w:r w:rsidRPr="00AF2F0E">
              <w:rPr>
                <w:rFonts w:ascii="Arial Narrow" w:eastAsia="Calibri" w:hAnsi="Arial Narrow" w:cs="Times New Roman"/>
                <w:b/>
                <w:bCs/>
                <w:color w:val="FFFFFF"/>
                <w:sz w:val="18"/>
                <w:szCs w:val="18"/>
              </w:rPr>
              <w:t>Pequeña demanda baja tensión hasta 25 KW-mes</w:t>
            </w:r>
          </w:p>
        </w:tc>
        <w:tc>
          <w:tcPr>
            <w:tcW w:w="1407"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AF79A3" w:rsidRPr="00AF2F0E" w:rsidRDefault="00AF79A3" w:rsidP="00AF79A3">
            <w:pPr>
              <w:spacing w:after="0" w:line="240" w:lineRule="auto"/>
              <w:jc w:val="center"/>
              <w:rPr>
                <w:rFonts w:ascii="Arial Narrow" w:eastAsia="Calibri" w:hAnsi="Arial Narrow" w:cs="Times New Roman"/>
                <w:b/>
                <w:bCs/>
                <w:color w:val="FFFFFF"/>
                <w:sz w:val="18"/>
                <w:szCs w:val="18"/>
              </w:rPr>
            </w:pPr>
            <w:r w:rsidRPr="00AF2F0E">
              <w:rPr>
                <w:rFonts w:ascii="Arial Narrow" w:eastAsia="Calibri" w:hAnsi="Arial Narrow" w:cs="Times New Roman"/>
                <w:b/>
                <w:bCs/>
                <w:color w:val="FFFFFF"/>
                <w:sz w:val="18"/>
                <w:szCs w:val="18"/>
              </w:rPr>
              <w:t>GDMT</w:t>
            </w:r>
          </w:p>
          <w:p w:rsidR="00AF79A3" w:rsidRPr="00AF2F0E" w:rsidRDefault="00AF79A3" w:rsidP="00AF79A3">
            <w:pPr>
              <w:spacing w:after="0" w:line="240" w:lineRule="auto"/>
              <w:ind w:firstLine="90"/>
              <w:jc w:val="center"/>
              <w:rPr>
                <w:rFonts w:ascii="Arial Narrow" w:eastAsia="Calibri" w:hAnsi="Arial Narrow" w:cs="Times New Roman"/>
                <w:b/>
                <w:bCs/>
                <w:color w:val="FFFFFF"/>
                <w:sz w:val="18"/>
                <w:szCs w:val="18"/>
              </w:rPr>
            </w:pPr>
            <w:r>
              <w:rPr>
                <w:rFonts w:ascii="Arial Narrow" w:eastAsia="Calibri" w:hAnsi="Arial Narrow" w:cs="Times New Roman"/>
                <w:b/>
                <w:bCs/>
                <w:color w:val="FFFFFF"/>
                <w:sz w:val="18"/>
                <w:szCs w:val="18"/>
              </w:rPr>
              <w:t>Gran demanda en media  tensión</w:t>
            </w:r>
          </w:p>
        </w:tc>
      </w:tr>
      <w:tr w:rsidR="00AF79A3" w:rsidRPr="00AF2F0E" w:rsidTr="00AF79A3">
        <w:trPr>
          <w:trHeight w:val="227"/>
        </w:trPr>
        <w:tc>
          <w:tcPr>
            <w:tcW w:w="1795"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5" w:type="dxa"/>
              <w:left w:w="15" w:type="dxa"/>
              <w:bottom w:w="0" w:type="dxa"/>
              <w:right w:w="15" w:type="dxa"/>
            </w:tcMar>
            <w:vAlign w:val="center"/>
            <w:hideMark/>
          </w:tcPr>
          <w:p w:rsidR="00AF79A3" w:rsidRPr="00AF2F0E" w:rsidRDefault="00AF79A3" w:rsidP="00AF79A3">
            <w:pPr>
              <w:spacing w:after="0" w:line="240" w:lineRule="auto"/>
              <w:ind w:firstLine="90"/>
              <w:jc w:val="both"/>
              <w:rPr>
                <w:rFonts w:ascii="Arial Narrow" w:eastAsia="Calibri" w:hAnsi="Arial Narrow" w:cs="Times New Roman"/>
                <w:sz w:val="18"/>
                <w:szCs w:val="18"/>
              </w:rPr>
            </w:pPr>
          </w:p>
        </w:tc>
        <w:tc>
          <w:tcPr>
            <w:tcW w:w="1406" w:type="dxa"/>
            <w:tcBorders>
              <w:top w:val="single" w:sz="4" w:space="0" w:color="auto"/>
              <w:left w:val="nil"/>
              <w:bottom w:val="single" w:sz="4" w:space="0" w:color="auto"/>
              <w:right w:val="nil"/>
            </w:tcBorders>
            <w:shd w:val="clear" w:color="auto" w:fill="DBE5F1" w:themeFill="accent1" w:themeFillTint="33"/>
            <w:tcMar>
              <w:top w:w="15" w:type="dxa"/>
              <w:left w:w="15" w:type="dxa"/>
              <w:bottom w:w="0" w:type="dxa"/>
              <w:right w:w="15" w:type="dxa"/>
            </w:tcMar>
            <w:vAlign w:val="center"/>
            <w:hideMark/>
          </w:tcPr>
          <w:p w:rsidR="00AF79A3" w:rsidRPr="00AF2F0E" w:rsidRDefault="00082F7D" w:rsidP="00AF79A3">
            <w:pPr>
              <w:spacing w:after="0" w:line="240" w:lineRule="auto"/>
              <w:jc w:val="center"/>
              <w:rPr>
                <w:rFonts w:ascii="Arial Narrow" w:eastAsia="Times New Roman" w:hAnsi="Arial Narrow" w:cs="Times New Roman"/>
                <w:sz w:val="18"/>
                <w:szCs w:val="18"/>
                <w:lang w:val="es-AR" w:eastAsia="es-AR"/>
              </w:rPr>
            </w:pPr>
            <w:r>
              <w:rPr>
                <w:rFonts w:ascii="Arial Narrow" w:eastAsia="Times New Roman" w:hAnsi="Arial Narrow" w:cs="Times New Roman"/>
                <w:sz w:val="18"/>
                <w:szCs w:val="18"/>
                <w:lang w:val="es-AR" w:eastAsia="es-AR"/>
              </w:rPr>
              <w:t>$/kWh-mes</w:t>
            </w:r>
          </w:p>
        </w:tc>
        <w:tc>
          <w:tcPr>
            <w:tcW w:w="1407" w:type="dxa"/>
            <w:tcBorders>
              <w:top w:val="single" w:sz="4" w:space="0" w:color="auto"/>
              <w:left w:val="nil"/>
              <w:bottom w:val="single" w:sz="4" w:space="0" w:color="auto"/>
              <w:right w:val="nil"/>
            </w:tcBorders>
            <w:shd w:val="clear" w:color="auto" w:fill="DBE5F1" w:themeFill="accent1" w:themeFillTint="33"/>
            <w:vAlign w:val="center"/>
          </w:tcPr>
          <w:p w:rsidR="00AF79A3" w:rsidRPr="00AF2F0E" w:rsidRDefault="00082F7D" w:rsidP="00AF79A3">
            <w:pPr>
              <w:spacing w:after="0" w:line="240" w:lineRule="auto"/>
              <w:jc w:val="center"/>
              <w:rPr>
                <w:rFonts w:ascii="Arial Narrow" w:eastAsia="Times New Roman" w:hAnsi="Arial Narrow" w:cs="Times New Roman"/>
                <w:sz w:val="18"/>
                <w:szCs w:val="18"/>
                <w:lang w:val="es-AR" w:eastAsia="es-AR"/>
              </w:rPr>
            </w:pPr>
            <w:r>
              <w:rPr>
                <w:rFonts w:ascii="Arial Narrow" w:eastAsia="Times New Roman" w:hAnsi="Arial Narrow" w:cs="Times New Roman"/>
                <w:sz w:val="18"/>
                <w:szCs w:val="18"/>
                <w:lang w:val="es-AR" w:eastAsia="es-AR"/>
              </w:rPr>
              <w:t>$/kWh-mes</w:t>
            </w:r>
          </w:p>
        </w:tc>
        <w:tc>
          <w:tcPr>
            <w:tcW w:w="1406" w:type="dxa"/>
            <w:tcBorders>
              <w:top w:val="single" w:sz="4" w:space="0" w:color="auto"/>
              <w:left w:val="nil"/>
              <w:bottom w:val="single" w:sz="4" w:space="0" w:color="auto"/>
              <w:right w:val="nil"/>
            </w:tcBorders>
            <w:shd w:val="clear" w:color="auto" w:fill="DBE5F1" w:themeFill="accent1" w:themeFillTint="33"/>
            <w:vAlign w:val="center"/>
          </w:tcPr>
          <w:p w:rsidR="00AF79A3" w:rsidRPr="00AF2F0E" w:rsidRDefault="00082F7D" w:rsidP="00AF79A3">
            <w:pPr>
              <w:spacing w:after="0" w:line="240" w:lineRule="auto"/>
              <w:jc w:val="center"/>
              <w:rPr>
                <w:rFonts w:ascii="Arial Narrow" w:eastAsia="Times New Roman" w:hAnsi="Arial Narrow" w:cs="Times New Roman"/>
                <w:sz w:val="18"/>
                <w:szCs w:val="18"/>
                <w:lang w:val="es-AR" w:eastAsia="es-AR"/>
              </w:rPr>
            </w:pPr>
            <w:r>
              <w:rPr>
                <w:rFonts w:ascii="Arial Narrow" w:eastAsia="Times New Roman" w:hAnsi="Arial Narrow" w:cs="Times New Roman"/>
                <w:sz w:val="18"/>
                <w:szCs w:val="18"/>
                <w:lang w:val="es-AR" w:eastAsia="es-AR"/>
              </w:rPr>
              <w:t>$/kWh-mes</w:t>
            </w:r>
          </w:p>
        </w:tc>
        <w:tc>
          <w:tcPr>
            <w:tcW w:w="1407" w:type="dxa"/>
            <w:tcBorders>
              <w:top w:val="single" w:sz="4" w:space="0" w:color="auto"/>
              <w:left w:val="nil"/>
              <w:bottom w:val="single" w:sz="4" w:space="0" w:color="auto"/>
              <w:right w:val="nil"/>
            </w:tcBorders>
            <w:shd w:val="clear" w:color="auto" w:fill="DBE5F1" w:themeFill="accent1" w:themeFillTint="33"/>
            <w:vAlign w:val="center"/>
          </w:tcPr>
          <w:p w:rsidR="00AF79A3" w:rsidRPr="00AF2F0E" w:rsidRDefault="00577C8D" w:rsidP="00AF79A3">
            <w:pPr>
              <w:spacing w:after="0" w:line="240" w:lineRule="auto"/>
              <w:jc w:val="center"/>
              <w:rPr>
                <w:rFonts w:ascii="Arial Narrow" w:eastAsia="Times New Roman" w:hAnsi="Arial Narrow" w:cs="Times New Roman"/>
                <w:sz w:val="18"/>
                <w:szCs w:val="18"/>
                <w:lang w:val="es-AR" w:eastAsia="es-AR"/>
              </w:rPr>
            </w:pPr>
            <w:r>
              <w:rPr>
                <w:rFonts w:ascii="Arial Narrow" w:eastAsia="Times New Roman" w:hAnsi="Arial Narrow" w:cs="Times New Roman"/>
                <w:sz w:val="18"/>
                <w:szCs w:val="18"/>
                <w:lang w:val="es-AR" w:eastAsia="es-AR"/>
              </w:rPr>
              <w:t>$/kW</w:t>
            </w:r>
            <w:r w:rsidR="00082F7D">
              <w:rPr>
                <w:rFonts w:ascii="Arial Narrow" w:eastAsia="Times New Roman" w:hAnsi="Arial Narrow" w:cs="Times New Roman"/>
                <w:sz w:val="18"/>
                <w:szCs w:val="18"/>
                <w:lang w:val="es-AR" w:eastAsia="es-AR"/>
              </w:rPr>
              <w:t>-mes</w:t>
            </w:r>
          </w:p>
        </w:tc>
        <w:tc>
          <w:tcPr>
            <w:tcW w:w="1407"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AF79A3" w:rsidRPr="00AF2F0E" w:rsidRDefault="00082F7D" w:rsidP="00AF79A3">
            <w:pPr>
              <w:spacing w:after="0" w:line="240" w:lineRule="auto"/>
              <w:jc w:val="center"/>
              <w:rPr>
                <w:rFonts w:ascii="Arial Narrow" w:eastAsia="Times New Roman" w:hAnsi="Arial Narrow" w:cs="Times New Roman"/>
                <w:sz w:val="18"/>
                <w:szCs w:val="18"/>
                <w:lang w:val="es-AR" w:eastAsia="es-AR"/>
              </w:rPr>
            </w:pPr>
            <w:r>
              <w:rPr>
                <w:rFonts w:ascii="Arial Narrow" w:eastAsia="Times New Roman" w:hAnsi="Arial Narrow" w:cs="Times New Roman"/>
                <w:sz w:val="18"/>
                <w:szCs w:val="18"/>
                <w:lang w:val="es-AR" w:eastAsia="es-AR"/>
              </w:rPr>
              <w:t>$/kW-mes</w:t>
            </w:r>
          </w:p>
        </w:tc>
      </w:tr>
      <w:tr w:rsidR="00AF79A3" w:rsidRPr="00AF2F0E" w:rsidTr="00AF79A3">
        <w:trPr>
          <w:trHeight w:val="227"/>
        </w:trPr>
        <w:tc>
          <w:tcPr>
            <w:tcW w:w="1795" w:type="dxa"/>
            <w:tcBorders>
              <w:top w:val="single" w:sz="4" w:space="0" w:color="auto"/>
              <w:left w:val="single" w:sz="4" w:space="0" w:color="auto"/>
              <w:bottom w:val="single" w:sz="8" w:space="0" w:color="FFFFFF"/>
              <w:right w:val="single" w:sz="4" w:space="0" w:color="auto"/>
            </w:tcBorders>
            <w:shd w:val="clear" w:color="auto" w:fill="auto"/>
            <w:tcMar>
              <w:top w:w="15" w:type="dxa"/>
              <w:left w:w="15" w:type="dxa"/>
              <w:bottom w:w="0" w:type="dxa"/>
              <w:right w:w="15" w:type="dxa"/>
            </w:tcMar>
            <w:vAlign w:val="center"/>
            <w:hideMark/>
          </w:tcPr>
          <w:p w:rsidR="00AF79A3" w:rsidRPr="00AF2F0E" w:rsidRDefault="00AF79A3" w:rsidP="00AF79A3">
            <w:pPr>
              <w:spacing w:after="0" w:line="240" w:lineRule="auto"/>
              <w:jc w:val="both"/>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BAJA CALIFORNIA</w:t>
            </w:r>
          </w:p>
        </w:tc>
        <w:tc>
          <w:tcPr>
            <w:tcW w:w="1406"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0.62</w:t>
            </w:r>
          </w:p>
        </w:tc>
        <w:tc>
          <w:tcPr>
            <w:tcW w:w="1407" w:type="dxa"/>
            <w:tcBorders>
              <w:top w:val="single" w:sz="4" w:space="0" w:color="auto"/>
              <w:left w:val="nil"/>
              <w:bottom w:val="nil"/>
              <w:right w:val="nil"/>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0.71</w:t>
            </w:r>
          </w:p>
        </w:tc>
        <w:tc>
          <w:tcPr>
            <w:tcW w:w="1406" w:type="dxa"/>
            <w:tcBorders>
              <w:top w:val="single" w:sz="4" w:space="0" w:color="auto"/>
              <w:left w:val="nil"/>
              <w:bottom w:val="nil"/>
              <w:right w:val="nil"/>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0.57</w:t>
            </w:r>
          </w:p>
        </w:tc>
        <w:tc>
          <w:tcPr>
            <w:tcW w:w="1407" w:type="dxa"/>
            <w:tcBorders>
              <w:top w:val="single" w:sz="4" w:space="0" w:color="auto"/>
              <w:left w:val="nil"/>
              <w:bottom w:val="nil"/>
              <w:right w:val="nil"/>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164.20</w:t>
            </w:r>
          </w:p>
        </w:tc>
        <w:tc>
          <w:tcPr>
            <w:tcW w:w="1407" w:type="dxa"/>
            <w:tcBorders>
              <w:top w:val="single" w:sz="4" w:space="0" w:color="auto"/>
              <w:left w:val="nil"/>
              <w:bottom w:val="nil"/>
              <w:right w:val="single" w:sz="4" w:space="0" w:color="auto"/>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76.40</w:t>
            </w:r>
          </w:p>
        </w:tc>
      </w:tr>
      <w:tr w:rsidR="00AF79A3" w:rsidRPr="00AF2F0E" w:rsidTr="00AF79A3">
        <w:trPr>
          <w:trHeight w:val="227"/>
        </w:trPr>
        <w:tc>
          <w:tcPr>
            <w:tcW w:w="1795" w:type="dxa"/>
            <w:tcBorders>
              <w:top w:val="single" w:sz="8" w:space="0" w:color="FFFFFF"/>
              <w:left w:val="single" w:sz="4" w:space="0" w:color="auto"/>
              <w:bottom w:val="single" w:sz="8" w:space="0" w:color="FFFFFF"/>
              <w:right w:val="single" w:sz="4" w:space="0" w:color="auto"/>
            </w:tcBorders>
            <w:shd w:val="clear" w:color="auto" w:fill="auto"/>
            <w:tcMar>
              <w:top w:w="15" w:type="dxa"/>
              <w:left w:w="15" w:type="dxa"/>
              <w:bottom w:w="0" w:type="dxa"/>
              <w:right w:w="15" w:type="dxa"/>
            </w:tcMar>
            <w:vAlign w:val="center"/>
            <w:hideMark/>
          </w:tcPr>
          <w:p w:rsidR="00AF79A3" w:rsidRPr="00AF2F0E" w:rsidRDefault="00AF79A3" w:rsidP="00AF79A3">
            <w:pPr>
              <w:spacing w:after="0" w:line="240" w:lineRule="auto"/>
              <w:jc w:val="both"/>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BAJIO</w:t>
            </w:r>
          </w:p>
        </w:tc>
        <w:tc>
          <w:tcPr>
            <w:tcW w:w="1406" w:type="dxa"/>
            <w:tcBorders>
              <w:top w:val="nil"/>
              <w:left w:val="nil"/>
              <w:bottom w:val="nil"/>
              <w:right w:val="nil"/>
            </w:tcBorders>
            <w:shd w:val="clear" w:color="auto" w:fill="auto"/>
            <w:tcMar>
              <w:top w:w="15" w:type="dxa"/>
              <w:left w:w="15" w:type="dxa"/>
              <w:bottom w:w="0" w:type="dxa"/>
              <w:right w:w="15" w:type="dxa"/>
            </w:tcMar>
            <w:vAlign w:val="center"/>
            <w:hideMark/>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0.93</w:t>
            </w:r>
          </w:p>
        </w:tc>
        <w:tc>
          <w:tcPr>
            <w:tcW w:w="1407" w:type="dxa"/>
            <w:tcBorders>
              <w:top w:val="nil"/>
              <w:left w:val="nil"/>
              <w:bottom w:val="nil"/>
              <w:right w:val="nil"/>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0.80</w:t>
            </w:r>
          </w:p>
        </w:tc>
        <w:tc>
          <w:tcPr>
            <w:tcW w:w="1406" w:type="dxa"/>
            <w:tcBorders>
              <w:top w:val="nil"/>
              <w:left w:val="nil"/>
              <w:bottom w:val="nil"/>
              <w:right w:val="nil"/>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0.76</w:t>
            </w:r>
          </w:p>
        </w:tc>
        <w:tc>
          <w:tcPr>
            <w:tcW w:w="1407" w:type="dxa"/>
            <w:tcBorders>
              <w:top w:val="nil"/>
              <w:left w:val="nil"/>
              <w:bottom w:val="nil"/>
              <w:right w:val="nil"/>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300.57</w:t>
            </w:r>
          </w:p>
        </w:tc>
        <w:tc>
          <w:tcPr>
            <w:tcW w:w="1407" w:type="dxa"/>
            <w:tcBorders>
              <w:top w:val="nil"/>
              <w:left w:val="nil"/>
              <w:bottom w:val="nil"/>
              <w:right w:val="single" w:sz="4" w:space="0" w:color="auto"/>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79.66</w:t>
            </w:r>
          </w:p>
        </w:tc>
      </w:tr>
      <w:tr w:rsidR="00AF79A3" w:rsidRPr="00AF2F0E" w:rsidTr="00AF79A3">
        <w:trPr>
          <w:trHeight w:val="227"/>
        </w:trPr>
        <w:tc>
          <w:tcPr>
            <w:tcW w:w="1795" w:type="dxa"/>
            <w:tcBorders>
              <w:top w:val="single" w:sz="8" w:space="0" w:color="FFFFFF"/>
              <w:left w:val="single" w:sz="4" w:space="0" w:color="auto"/>
              <w:bottom w:val="single" w:sz="8" w:space="0" w:color="FFFFFF"/>
              <w:right w:val="single" w:sz="4" w:space="0" w:color="auto"/>
            </w:tcBorders>
            <w:shd w:val="clear" w:color="auto" w:fill="auto"/>
            <w:tcMar>
              <w:top w:w="15" w:type="dxa"/>
              <w:left w:w="15" w:type="dxa"/>
              <w:bottom w:w="0" w:type="dxa"/>
              <w:right w:w="15" w:type="dxa"/>
            </w:tcMar>
            <w:vAlign w:val="center"/>
            <w:hideMark/>
          </w:tcPr>
          <w:p w:rsidR="00AF79A3" w:rsidRPr="00AF2F0E" w:rsidRDefault="00AF79A3" w:rsidP="00AF79A3">
            <w:pPr>
              <w:spacing w:after="0" w:line="240" w:lineRule="auto"/>
              <w:jc w:val="both"/>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CENTRO OCCIDENTE</w:t>
            </w:r>
          </w:p>
        </w:tc>
        <w:tc>
          <w:tcPr>
            <w:tcW w:w="1406" w:type="dxa"/>
            <w:tcBorders>
              <w:top w:val="nil"/>
              <w:left w:val="nil"/>
              <w:bottom w:val="nil"/>
              <w:right w:val="nil"/>
            </w:tcBorders>
            <w:shd w:val="clear" w:color="auto" w:fill="auto"/>
            <w:tcMar>
              <w:top w:w="15" w:type="dxa"/>
              <w:left w:w="15" w:type="dxa"/>
              <w:bottom w:w="0" w:type="dxa"/>
              <w:right w:w="15" w:type="dxa"/>
            </w:tcMar>
            <w:vAlign w:val="center"/>
            <w:hideMark/>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1.25</w:t>
            </w:r>
          </w:p>
        </w:tc>
        <w:tc>
          <w:tcPr>
            <w:tcW w:w="1407" w:type="dxa"/>
            <w:tcBorders>
              <w:top w:val="nil"/>
              <w:left w:val="nil"/>
              <w:bottom w:val="nil"/>
              <w:right w:val="nil"/>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1.07</w:t>
            </w:r>
          </w:p>
        </w:tc>
        <w:tc>
          <w:tcPr>
            <w:tcW w:w="1406" w:type="dxa"/>
            <w:tcBorders>
              <w:top w:val="nil"/>
              <w:left w:val="nil"/>
              <w:bottom w:val="nil"/>
              <w:right w:val="nil"/>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1.02</w:t>
            </w:r>
          </w:p>
        </w:tc>
        <w:tc>
          <w:tcPr>
            <w:tcW w:w="1407" w:type="dxa"/>
            <w:tcBorders>
              <w:top w:val="nil"/>
              <w:left w:val="nil"/>
              <w:bottom w:val="nil"/>
              <w:right w:val="nil"/>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402.72</w:t>
            </w:r>
          </w:p>
        </w:tc>
        <w:tc>
          <w:tcPr>
            <w:tcW w:w="1407" w:type="dxa"/>
            <w:tcBorders>
              <w:top w:val="nil"/>
              <w:left w:val="nil"/>
              <w:bottom w:val="nil"/>
              <w:right w:val="single" w:sz="4" w:space="0" w:color="auto"/>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125.92</w:t>
            </w:r>
          </w:p>
        </w:tc>
      </w:tr>
      <w:tr w:rsidR="00AF79A3" w:rsidRPr="00AF2F0E" w:rsidTr="00AF79A3">
        <w:trPr>
          <w:trHeight w:val="227"/>
        </w:trPr>
        <w:tc>
          <w:tcPr>
            <w:tcW w:w="1795" w:type="dxa"/>
            <w:tcBorders>
              <w:top w:val="single" w:sz="8" w:space="0" w:color="FFFFFF"/>
              <w:left w:val="single" w:sz="4" w:space="0" w:color="auto"/>
              <w:bottom w:val="single" w:sz="8" w:space="0" w:color="FFFFFF"/>
              <w:right w:val="single" w:sz="4" w:space="0" w:color="auto"/>
            </w:tcBorders>
            <w:shd w:val="clear" w:color="auto" w:fill="auto"/>
            <w:tcMar>
              <w:top w:w="15" w:type="dxa"/>
              <w:left w:w="15" w:type="dxa"/>
              <w:bottom w:w="0" w:type="dxa"/>
              <w:right w:w="15" w:type="dxa"/>
            </w:tcMar>
            <w:vAlign w:val="center"/>
            <w:hideMark/>
          </w:tcPr>
          <w:p w:rsidR="00AF79A3" w:rsidRPr="00AF2F0E" w:rsidRDefault="00AF79A3" w:rsidP="00AF79A3">
            <w:pPr>
              <w:spacing w:after="0" w:line="240" w:lineRule="auto"/>
              <w:jc w:val="both"/>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CENTRO ORIENTE</w:t>
            </w:r>
          </w:p>
        </w:tc>
        <w:tc>
          <w:tcPr>
            <w:tcW w:w="1406" w:type="dxa"/>
            <w:tcBorders>
              <w:top w:val="nil"/>
              <w:left w:val="nil"/>
              <w:bottom w:val="nil"/>
              <w:right w:val="nil"/>
            </w:tcBorders>
            <w:shd w:val="clear" w:color="auto" w:fill="auto"/>
            <w:tcMar>
              <w:top w:w="15" w:type="dxa"/>
              <w:left w:w="15" w:type="dxa"/>
              <w:bottom w:w="0" w:type="dxa"/>
              <w:right w:w="15" w:type="dxa"/>
            </w:tcMar>
            <w:vAlign w:val="center"/>
            <w:hideMark/>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1.20</w:t>
            </w:r>
          </w:p>
        </w:tc>
        <w:tc>
          <w:tcPr>
            <w:tcW w:w="1407" w:type="dxa"/>
            <w:tcBorders>
              <w:top w:val="nil"/>
              <w:left w:val="nil"/>
              <w:bottom w:val="nil"/>
              <w:right w:val="nil"/>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1.03</w:t>
            </w:r>
          </w:p>
        </w:tc>
        <w:tc>
          <w:tcPr>
            <w:tcW w:w="1406" w:type="dxa"/>
            <w:tcBorders>
              <w:top w:val="nil"/>
              <w:left w:val="nil"/>
              <w:bottom w:val="nil"/>
              <w:right w:val="nil"/>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0.98</w:t>
            </w:r>
          </w:p>
        </w:tc>
        <w:tc>
          <w:tcPr>
            <w:tcW w:w="1407" w:type="dxa"/>
            <w:tcBorders>
              <w:top w:val="nil"/>
              <w:left w:val="nil"/>
              <w:bottom w:val="nil"/>
              <w:right w:val="nil"/>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388.58</w:t>
            </w:r>
          </w:p>
        </w:tc>
        <w:tc>
          <w:tcPr>
            <w:tcW w:w="1407" w:type="dxa"/>
            <w:tcBorders>
              <w:top w:val="nil"/>
              <w:left w:val="nil"/>
              <w:bottom w:val="nil"/>
              <w:right w:val="single" w:sz="4" w:space="0" w:color="auto"/>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125.61</w:t>
            </w:r>
          </w:p>
        </w:tc>
      </w:tr>
      <w:tr w:rsidR="00AF79A3" w:rsidRPr="00AF2F0E" w:rsidTr="00AF79A3">
        <w:trPr>
          <w:trHeight w:val="227"/>
        </w:trPr>
        <w:tc>
          <w:tcPr>
            <w:tcW w:w="1795" w:type="dxa"/>
            <w:tcBorders>
              <w:top w:val="single" w:sz="8" w:space="0" w:color="FFFFFF"/>
              <w:left w:val="single" w:sz="4" w:space="0" w:color="auto"/>
              <w:bottom w:val="single" w:sz="8" w:space="0" w:color="FFFFFF"/>
              <w:right w:val="single" w:sz="4" w:space="0" w:color="auto"/>
            </w:tcBorders>
            <w:shd w:val="clear" w:color="auto" w:fill="auto"/>
            <w:tcMar>
              <w:top w:w="15" w:type="dxa"/>
              <w:left w:w="15" w:type="dxa"/>
              <w:bottom w:w="0" w:type="dxa"/>
              <w:right w:w="15" w:type="dxa"/>
            </w:tcMar>
            <w:vAlign w:val="center"/>
            <w:hideMark/>
          </w:tcPr>
          <w:p w:rsidR="00AF79A3" w:rsidRPr="00AF2F0E" w:rsidRDefault="00AF79A3" w:rsidP="00AF79A3">
            <w:pPr>
              <w:spacing w:after="0" w:line="240" w:lineRule="auto"/>
              <w:jc w:val="both"/>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CENTRO SUR</w:t>
            </w:r>
          </w:p>
        </w:tc>
        <w:tc>
          <w:tcPr>
            <w:tcW w:w="1406" w:type="dxa"/>
            <w:tcBorders>
              <w:top w:val="nil"/>
              <w:left w:val="nil"/>
              <w:bottom w:val="nil"/>
              <w:right w:val="nil"/>
            </w:tcBorders>
            <w:shd w:val="clear" w:color="auto" w:fill="auto"/>
            <w:tcMar>
              <w:top w:w="15" w:type="dxa"/>
              <w:left w:w="15" w:type="dxa"/>
              <w:bottom w:w="0" w:type="dxa"/>
              <w:right w:w="15" w:type="dxa"/>
            </w:tcMar>
            <w:vAlign w:val="center"/>
            <w:hideMark/>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1.36</w:t>
            </w:r>
          </w:p>
        </w:tc>
        <w:tc>
          <w:tcPr>
            <w:tcW w:w="1407" w:type="dxa"/>
            <w:tcBorders>
              <w:top w:val="nil"/>
              <w:left w:val="nil"/>
              <w:bottom w:val="nil"/>
              <w:right w:val="nil"/>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1.16</w:t>
            </w:r>
          </w:p>
        </w:tc>
        <w:tc>
          <w:tcPr>
            <w:tcW w:w="1406" w:type="dxa"/>
            <w:tcBorders>
              <w:top w:val="nil"/>
              <w:left w:val="nil"/>
              <w:bottom w:val="nil"/>
              <w:right w:val="nil"/>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1.10</w:t>
            </w:r>
          </w:p>
        </w:tc>
        <w:tc>
          <w:tcPr>
            <w:tcW w:w="1407" w:type="dxa"/>
            <w:tcBorders>
              <w:top w:val="nil"/>
              <w:left w:val="nil"/>
              <w:bottom w:val="nil"/>
              <w:right w:val="nil"/>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437.77</w:t>
            </w:r>
          </w:p>
        </w:tc>
        <w:tc>
          <w:tcPr>
            <w:tcW w:w="1407" w:type="dxa"/>
            <w:tcBorders>
              <w:top w:val="nil"/>
              <w:left w:val="nil"/>
              <w:bottom w:val="nil"/>
              <w:right w:val="single" w:sz="4" w:space="0" w:color="auto"/>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185.47</w:t>
            </w:r>
          </w:p>
        </w:tc>
      </w:tr>
      <w:tr w:rsidR="00AF79A3" w:rsidRPr="00AF2F0E" w:rsidTr="00AF79A3">
        <w:trPr>
          <w:trHeight w:val="227"/>
        </w:trPr>
        <w:tc>
          <w:tcPr>
            <w:tcW w:w="1795" w:type="dxa"/>
            <w:tcBorders>
              <w:top w:val="single" w:sz="8" w:space="0" w:color="FFFFFF"/>
              <w:left w:val="single" w:sz="4" w:space="0" w:color="auto"/>
              <w:bottom w:val="single" w:sz="8" w:space="0" w:color="FFFFFF"/>
              <w:right w:val="single" w:sz="4" w:space="0" w:color="auto"/>
            </w:tcBorders>
            <w:shd w:val="clear" w:color="auto" w:fill="auto"/>
            <w:tcMar>
              <w:top w:w="15" w:type="dxa"/>
              <w:left w:w="15" w:type="dxa"/>
              <w:bottom w:w="0" w:type="dxa"/>
              <w:right w:w="15" w:type="dxa"/>
            </w:tcMar>
            <w:vAlign w:val="center"/>
            <w:hideMark/>
          </w:tcPr>
          <w:p w:rsidR="00AF79A3" w:rsidRPr="00AF2F0E" w:rsidRDefault="00AF79A3" w:rsidP="00AF79A3">
            <w:pPr>
              <w:spacing w:after="0" w:line="240" w:lineRule="auto"/>
              <w:jc w:val="both"/>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GOLFO CENTRO</w:t>
            </w:r>
          </w:p>
        </w:tc>
        <w:tc>
          <w:tcPr>
            <w:tcW w:w="1406" w:type="dxa"/>
            <w:tcBorders>
              <w:top w:val="nil"/>
              <w:left w:val="nil"/>
              <w:bottom w:val="nil"/>
              <w:right w:val="nil"/>
            </w:tcBorders>
            <w:shd w:val="clear" w:color="auto" w:fill="auto"/>
            <w:tcMar>
              <w:top w:w="15" w:type="dxa"/>
              <w:left w:w="15" w:type="dxa"/>
              <w:bottom w:w="0" w:type="dxa"/>
              <w:right w:w="15" w:type="dxa"/>
            </w:tcMar>
            <w:vAlign w:val="center"/>
            <w:hideMark/>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0.91</w:t>
            </w:r>
          </w:p>
        </w:tc>
        <w:tc>
          <w:tcPr>
            <w:tcW w:w="1407" w:type="dxa"/>
            <w:tcBorders>
              <w:top w:val="nil"/>
              <w:left w:val="nil"/>
              <w:bottom w:val="nil"/>
              <w:right w:val="nil"/>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0.74</w:t>
            </w:r>
          </w:p>
        </w:tc>
        <w:tc>
          <w:tcPr>
            <w:tcW w:w="1406" w:type="dxa"/>
            <w:tcBorders>
              <w:top w:val="nil"/>
              <w:left w:val="nil"/>
              <w:bottom w:val="nil"/>
              <w:right w:val="nil"/>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0.92</w:t>
            </w:r>
          </w:p>
        </w:tc>
        <w:tc>
          <w:tcPr>
            <w:tcW w:w="1407" w:type="dxa"/>
            <w:tcBorders>
              <w:top w:val="nil"/>
              <w:left w:val="nil"/>
              <w:bottom w:val="nil"/>
              <w:right w:val="nil"/>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308.94</w:t>
            </w:r>
          </w:p>
        </w:tc>
        <w:tc>
          <w:tcPr>
            <w:tcW w:w="1407" w:type="dxa"/>
            <w:tcBorders>
              <w:top w:val="nil"/>
              <w:left w:val="nil"/>
              <w:bottom w:val="nil"/>
              <w:right w:val="single" w:sz="4" w:space="0" w:color="auto"/>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102.15</w:t>
            </w:r>
          </w:p>
        </w:tc>
      </w:tr>
      <w:tr w:rsidR="00AF79A3" w:rsidRPr="00AF2F0E" w:rsidTr="00AF79A3">
        <w:trPr>
          <w:trHeight w:val="227"/>
        </w:trPr>
        <w:tc>
          <w:tcPr>
            <w:tcW w:w="1795" w:type="dxa"/>
            <w:tcBorders>
              <w:top w:val="single" w:sz="8" w:space="0" w:color="FFFFFF"/>
              <w:left w:val="single" w:sz="4" w:space="0" w:color="auto"/>
              <w:bottom w:val="single" w:sz="8" w:space="0" w:color="FFFFFF"/>
              <w:right w:val="single" w:sz="4" w:space="0" w:color="auto"/>
            </w:tcBorders>
            <w:shd w:val="clear" w:color="auto" w:fill="auto"/>
            <w:tcMar>
              <w:top w:w="15" w:type="dxa"/>
              <w:left w:w="15" w:type="dxa"/>
              <w:bottom w:w="0" w:type="dxa"/>
              <w:right w:w="15" w:type="dxa"/>
            </w:tcMar>
            <w:vAlign w:val="center"/>
            <w:hideMark/>
          </w:tcPr>
          <w:p w:rsidR="00AF79A3" w:rsidRPr="00AF2F0E" w:rsidRDefault="00AF79A3" w:rsidP="00AF79A3">
            <w:pPr>
              <w:spacing w:after="0" w:line="240" w:lineRule="auto"/>
              <w:jc w:val="both"/>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GOLFO NORTE</w:t>
            </w:r>
          </w:p>
        </w:tc>
        <w:tc>
          <w:tcPr>
            <w:tcW w:w="1406" w:type="dxa"/>
            <w:tcBorders>
              <w:top w:val="nil"/>
              <w:left w:val="nil"/>
              <w:bottom w:val="nil"/>
              <w:right w:val="nil"/>
            </w:tcBorders>
            <w:shd w:val="clear" w:color="auto" w:fill="auto"/>
            <w:tcMar>
              <w:top w:w="15" w:type="dxa"/>
              <w:left w:w="15" w:type="dxa"/>
              <w:bottom w:w="0" w:type="dxa"/>
              <w:right w:w="15" w:type="dxa"/>
            </w:tcMar>
            <w:vAlign w:val="center"/>
            <w:hideMark/>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0.68</w:t>
            </w:r>
          </w:p>
        </w:tc>
        <w:tc>
          <w:tcPr>
            <w:tcW w:w="1407" w:type="dxa"/>
            <w:tcBorders>
              <w:top w:val="nil"/>
              <w:left w:val="nil"/>
              <w:bottom w:val="nil"/>
              <w:right w:val="nil"/>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0.55</w:t>
            </w:r>
          </w:p>
        </w:tc>
        <w:tc>
          <w:tcPr>
            <w:tcW w:w="1406" w:type="dxa"/>
            <w:tcBorders>
              <w:top w:val="nil"/>
              <w:left w:val="nil"/>
              <w:bottom w:val="nil"/>
              <w:right w:val="nil"/>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0.68</w:t>
            </w:r>
          </w:p>
        </w:tc>
        <w:tc>
          <w:tcPr>
            <w:tcW w:w="1407" w:type="dxa"/>
            <w:tcBorders>
              <w:top w:val="nil"/>
              <w:left w:val="nil"/>
              <w:bottom w:val="nil"/>
              <w:right w:val="nil"/>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228.03</w:t>
            </w:r>
          </w:p>
        </w:tc>
        <w:tc>
          <w:tcPr>
            <w:tcW w:w="1407" w:type="dxa"/>
            <w:tcBorders>
              <w:top w:val="nil"/>
              <w:left w:val="nil"/>
              <w:bottom w:val="nil"/>
              <w:right w:val="single" w:sz="4" w:space="0" w:color="auto"/>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48.18</w:t>
            </w:r>
          </w:p>
        </w:tc>
      </w:tr>
      <w:tr w:rsidR="00AF79A3" w:rsidRPr="00AF2F0E" w:rsidTr="00AF79A3">
        <w:trPr>
          <w:trHeight w:val="227"/>
        </w:trPr>
        <w:tc>
          <w:tcPr>
            <w:tcW w:w="1795" w:type="dxa"/>
            <w:tcBorders>
              <w:top w:val="single" w:sz="8" w:space="0" w:color="FFFFFF"/>
              <w:left w:val="single" w:sz="4" w:space="0" w:color="auto"/>
              <w:bottom w:val="single" w:sz="8" w:space="0" w:color="FFFFFF"/>
              <w:right w:val="single" w:sz="4" w:space="0" w:color="auto"/>
            </w:tcBorders>
            <w:shd w:val="clear" w:color="auto" w:fill="auto"/>
            <w:tcMar>
              <w:top w:w="15" w:type="dxa"/>
              <w:left w:w="15" w:type="dxa"/>
              <w:bottom w:w="0" w:type="dxa"/>
              <w:right w:w="15" w:type="dxa"/>
            </w:tcMar>
            <w:vAlign w:val="center"/>
            <w:hideMark/>
          </w:tcPr>
          <w:p w:rsidR="00AF79A3" w:rsidRPr="00AF2F0E" w:rsidRDefault="00AF79A3" w:rsidP="00AF79A3">
            <w:pPr>
              <w:spacing w:after="0" w:line="240" w:lineRule="auto"/>
              <w:jc w:val="both"/>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JALISCO</w:t>
            </w:r>
          </w:p>
        </w:tc>
        <w:tc>
          <w:tcPr>
            <w:tcW w:w="1406" w:type="dxa"/>
            <w:tcBorders>
              <w:top w:val="nil"/>
              <w:left w:val="nil"/>
              <w:bottom w:val="nil"/>
              <w:right w:val="nil"/>
            </w:tcBorders>
            <w:shd w:val="clear" w:color="auto" w:fill="auto"/>
            <w:tcMar>
              <w:top w:w="15" w:type="dxa"/>
              <w:left w:w="15" w:type="dxa"/>
              <w:bottom w:w="0" w:type="dxa"/>
              <w:right w:w="15" w:type="dxa"/>
            </w:tcMar>
            <w:vAlign w:val="center"/>
            <w:hideMark/>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1.36</w:t>
            </w:r>
          </w:p>
        </w:tc>
        <w:tc>
          <w:tcPr>
            <w:tcW w:w="1407" w:type="dxa"/>
            <w:tcBorders>
              <w:top w:val="nil"/>
              <w:left w:val="nil"/>
              <w:bottom w:val="nil"/>
              <w:right w:val="nil"/>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1.17</w:t>
            </w:r>
          </w:p>
        </w:tc>
        <w:tc>
          <w:tcPr>
            <w:tcW w:w="1406" w:type="dxa"/>
            <w:tcBorders>
              <w:top w:val="nil"/>
              <w:left w:val="nil"/>
              <w:bottom w:val="nil"/>
              <w:right w:val="nil"/>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1.11</w:t>
            </w:r>
          </w:p>
        </w:tc>
        <w:tc>
          <w:tcPr>
            <w:tcW w:w="1407" w:type="dxa"/>
            <w:tcBorders>
              <w:top w:val="nil"/>
              <w:left w:val="nil"/>
              <w:bottom w:val="nil"/>
              <w:right w:val="nil"/>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439.99</w:t>
            </w:r>
          </w:p>
        </w:tc>
        <w:tc>
          <w:tcPr>
            <w:tcW w:w="1407" w:type="dxa"/>
            <w:tcBorders>
              <w:top w:val="nil"/>
              <w:left w:val="nil"/>
              <w:bottom w:val="nil"/>
              <w:right w:val="single" w:sz="4" w:space="0" w:color="auto"/>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133.04</w:t>
            </w:r>
          </w:p>
        </w:tc>
      </w:tr>
      <w:tr w:rsidR="00AF79A3" w:rsidRPr="00AF2F0E" w:rsidTr="00AF79A3">
        <w:trPr>
          <w:trHeight w:val="227"/>
        </w:trPr>
        <w:tc>
          <w:tcPr>
            <w:tcW w:w="1795" w:type="dxa"/>
            <w:tcBorders>
              <w:top w:val="single" w:sz="8" w:space="0" w:color="FFFFFF"/>
              <w:left w:val="single" w:sz="4" w:space="0" w:color="auto"/>
              <w:bottom w:val="single" w:sz="8" w:space="0" w:color="FFFFFF"/>
              <w:right w:val="single" w:sz="4" w:space="0" w:color="auto"/>
            </w:tcBorders>
            <w:shd w:val="clear" w:color="auto" w:fill="auto"/>
            <w:tcMar>
              <w:top w:w="15" w:type="dxa"/>
              <w:left w:w="15" w:type="dxa"/>
              <w:bottom w:w="0" w:type="dxa"/>
              <w:right w:w="15" w:type="dxa"/>
            </w:tcMar>
            <w:vAlign w:val="center"/>
            <w:hideMark/>
          </w:tcPr>
          <w:p w:rsidR="00AF79A3" w:rsidRPr="00AF2F0E" w:rsidRDefault="00AF79A3" w:rsidP="00AF79A3">
            <w:pPr>
              <w:spacing w:after="0" w:line="240" w:lineRule="auto"/>
              <w:jc w:val="both"/>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NOROESTE</w:t>
            </w:r>
          </w:p>
        </w:tc>
        <w:tc>
          <w:tcPr>
            <w:tcW w:w="1406" w:type="dxa"/>
            <w:tcBorders>
              <w:top w:val="nil"/>
              <w:left w:val="nil"/>
              <w:bottom w:val="nil"/>
              <w:right w:val="nil"/>
            </w:tcBorders>
            <w:shd w:val="clear" w:color="auto" w:fill="auto"/>
            <w:tcMar>
              <w:top w:w="15" w:type="dxa"/>
              <w:left w:w="15" w:type="dxa"/>
              <w:bottom w:w="0" w:type="dxa"/>
              <w:right w:w="15" w:type="dxa"/>
            </w:tcMar>
            <w:vAlign w:val="center"/>
            <w:hideMark/>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0.75</w:t>
            </w:r>
          </w:p>
        </w:tc>
        <w:tc>
          <w:tcPr>
            <w:tcW w:w="1407" w:type="dxa"/>
            <w:tcBorders>
              <w:top w:val="nil"/>
              <w:left w:val="nil"/>
              <w:bottom w:val="nil"/>
              <w:right w:val="nil"/>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0.59</w:t>
            </w:r>
          </w:p>
        </w:tc>
        <w:tc>
          <w:tcPr>
            <w:tcW w:w="1406" w:type="dxa"/>
            <w:tcBorders>
              <w:top w:val="nil"/>
              <w:left w:val="nil"/>
              <w:bottom w:val="nil"/>
              <w:right w:val="nil"/>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0.64</w:t>
            </w:r>
          </w:p>
        </w:tc>
        <w:tc>
          <w:tcPr>
            <w:tcW w:w="1407" w:type="dxa"/>
            <w:tcBorders>
              <w:top w:val="nil"/>
              <w:left w:val="nil"/>
              <w:bottom w:val="nil"/>
              <w:right w:val="nil"/>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177.12</w:t>
            </w:r>
          </w:p>
        </w:tc>
        <w:tc>
          <w:tcPr>
            <w:tcW w:w="1407" w:type="dxa"/>
            <w:tcBorders>
              <w:top w:val="nil"/>
              <w:left w:val="nil"/>
              <w:bottom w:val="nil"/>
              <w:right w:val="single" w:sz="4" w:space="0" w:color="auto"/>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75.55</w:t>
            </w:r>
          </w:p>
        </w:tc>
      </w:tr>
      <w:tr w:rsidR="00AF79A3" w:rsidRPr="00AF2F0E" w:rsidTr="00AF79A3">
        <w:trPr>
          <w:trHeight w:val="227"/>
        </w:trPr>
        <w:tc>
          <w:tcPr>
            <w:tcW w:w="1795" w:type="dxa"/>
            <w:tcBorders>
              <w:top w:val="single" w:sz="8" w:space="0" w:color="FFFFFF"/>
              <w:left w:val="single" w:sz="4" w:space="0" w:color="auto"/>
              <w:bottom w:val="single" w:sz="8" w:space="0" w:color="FFFFFF"/>
              <w:right w:val="single" w:sz="4" w:space="0" w:color="auto"/>
            </w:tcBorders>
            <w:shd w:val="clear" w:color="auto" w:fill="auto"/>
            <w:tcMar>
              <w:top w:w="15" w:type="dxa"/>
              <w:left w:w="15" w:type="dxa"/>
              <w:bottom w:w="0" w:type="dxa"/>
              <w:right w:w="15" w:type="dxa"/>
            </w:tcMar>
            <w:vAlign w:val="center"/>
            <w:hideMark/>
          </w:tcPr>
          <w:p w:rsidR="00AF79A3" w:rsidRPr="00AF2F0E" w:rsidRDefault="00AF79A3" w:rsidP="00AF79A3">
            <w:pPr>
              <w:spacing w:after="0" w:line="240" w:lineRule="auto"/>
              <w:jc w:val="both"/>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NORTE</w:t>
            </w:r>
          </w:p>
        </w:tc>
        <w:tc>
          <w:tcPr>
            <w:tcW w:w="1406" w:type="dxa"/>
            <w:tcBorders>
              <w:top w:val="nil"/>
              <w:left w:val="nil"/>
              <w:bottom w:val="nil"/>
              <w:right w:val="nil"/>
            </w:tcBorders>
            <w:shd w:val="clear" w:color="auto" w:fill="auto"/>
            <w:tcMar>
              <w:top w:w="15" w:type="dxa"/>
              <w:left w:w="15" w:type="dxa"/>
              <w:bottom w:w="0" w:type="dxa"/>
              <w:right w:w="15" w:type="dxa"/>
            </w:tcMar>
            <w:vAlign w:val="center"/>
            <w:hideMark/>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1.18</w:t>
            </w:r>
          </w:p>
        </w:tc>
        <w:tc>
          <w:tcPr>
            <w:tcW w:w="1407" w:type="dxa"/>
            <w:tcBorders>
              <w:top w:val="nil"/>
              <w:left w:val="nil"/>
              <w:bottom w:val="nil"/>
              <w:right w:val="nil"/>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1.04</w:t>
            </w:r>
          </w:p>
        </w:tc>
        <w:tc>
          <w:tcPr>
            <w:tcW w:w="1406" w:type="dxa"/>
            <w:tcBorders>
              <w:top w:val="nil"/>
              <w:left w:val="nil"/>
              <w:bottom w:val="nil"/>
              <w:right w:val="nil"/>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1.11</w:t>
            </w:r>
          </w:p>
        </w:tc>
        <w:tc>
          <w:tcPr>
            <w:tcW w:w="1407" w:type="dxa"/>
            <w:tcBorders>
              <w:top w:val="nil"/>
              <w:left w:val="nil"/>
              <w:bottom w:val="nil"/>
              <w:right w:val="nil"/>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299.87</w:t>
            </w:r>
          </w:p>
        </w:tc>
        <w:tc>
          <w:tcPr>
            <w:tcW w:w="1407" w:type="dxa"/>
            <w:tcBorders>
              <w:top w:val="nil"/>
              <w:left w:val="nil"/>
              <w:bottom w:val="nil"/>
              <w:right w:val="single" w:sz="4" w:space="0" w:color="auto"/>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63.78</w:t>
            </w:r>
          </w:p>
        </w:tc>
      </w:tr>
      <w:tr w:rsidR="00AF79A3" w:rsidRPr="00AF2F0E" w:rsidTr="00AF79A3">
        <w:trPr>
          <w:trHeight w:val="227"/>
        </w:trPr>
        <w:tc>
          <w:tcPr>
            <w:tcW w:w="1795" w:type="dxa"/>
            <w:tcBorders>
              <w:top w:val="single" w:sz="8" w:space="0" w:color="FFFFFF"/>
              <w:left w:val="single" w:sz="4" w:space="0" w:color="auto"/>
              <w:bottom w:val="single" w:sz="8" w:space="0" w:color="FFFFFF"/>
              <w:right w:val="single" w:sz="4" w:space="0" w:color="auto"/>
            </w:tcBorders>
            <w:shd w:val="clear" w:color="auto" w:fill="auto"/>
            <w:tcMar>
              <w:top w:w="15" w:type="dxa"/>
              <w:left w:w="15" w:type="dxa"/>
              <w:bottom w:w="0" w:type="dxa"/>
              <w:right w:w="15" w:type="dxa"/>
            </w:tcMar>
            <w:vAlign w:val="center"/>
            <w:hideMark/>
          </w:tcPr>
          <w:p w:rsidR="00AF79A3" w:rsidRPr="00AF2F0E" w:rsidRDefault="00AF79A3" w:rsidP="00AF79A3">
            <w:pPr>
              <w:spacing w:after="0" w:line="240" w:lineRule="auto"/>
              <w:jc w:val="both"/>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ORIENTE</w:t>
            </w:r>
          </w:p>
        </w:tc>
        <w:tc>
          <w:tcPr>
            <w:tcW w:w="1406" w:type="dxa"/>
            <w:tcBorders>
              <w:top w:val="nil"/>
              <w:left w:val="nil"/>
              <w:bottom w:val="nil"/>
              <w:right w:val="nil"/>
            </w:tcBorders>
            <w:shd w:val="clear" w:color="auto" w:fill="auto"/>
            <w:tcMar>
              <w:top w:w="15" w:type="dxa"/>
              <w:left w:w="15" w:type="dxa"/>
              <w:bottom w:w="0" w:type="dxa"/>
              <w:right w:w="15" w:type="dxa"/>
            </w:tcMar>
            <w:vAlign w:val="center"/>
            <w:hideMark/>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1.33</w:t>
            </w:r>
          </w:p>
        </w:tc>
        <w:tc>
          <w:tcPr>
            <w:tcW w:w="1407" w:type="dxa"/>
            <w:tcBorders>
              <w:top w:val="nil"/>
              <w:left w:val="nil"/>
              <w:bottom w:val="nil"/>
              <w:right w:val="nil"/>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1.14</w:t>
            </w:r>
          </w:p>
        </w:tc>
        <w:tc>
          <w:tcPr>
            <w:tcW w:w="1406" w:type="dxa"/>
            <w:tcBorders>
              <w:top w:val="nil"/>
              <w:left w:val="nil"/>
              <w:bottom w:val="nil"/>
              <w:right w:val="nil"/>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1.08</w:t>
            </w:r>
          </w:p>
        </w:tc>
        <w:tc>
          <w:tcPr>
            <w:tcW w:w="1407" w:type="dxa"/>
            <w:tcBorders>
              <w:top w:val="nil"/>
              <w:left w:val="nil"/>
              <w:bottom w:val="nil"/>
              <w:right w:val="nil"/>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429.63</w:t>
            </w:r>
          </w:p>
        </w:tc>
        <w:tc>
          <w:tcPr>
            <w:tcW w:w="1407" w:type="dxa"/>
            <w:tcBorders>
              <w:top w:val="nil"/>
              <w:left w:val="nil"/>
              <w:bottom w:val="nil"/>
              <w:right w:val="single" w:sz="4" w:space="0" w:color="auto"/>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172.39</w:t>
            </w:r>
          </w:p>
        </w:tc>
      </w:tr>
      <w:tr w:rsidR="00AF79A3" w:rsidRPr="00AF2F0E" w:rsidTr="00AF79A3">
        <w:trPr>
          <w:trHeight w:val="227"/>
        </w:trPr>
        <w:tc>
          <w:tcPr>
            <w:tcW w:w="1795" w:type="dxa"/>
            <w:tcBorders>
              <w:top w:val="single" w:sz="8" w:space="0" w:color="FFFFFF"/>
              <w:left w:val="single" w:sz="4" w:space="0" w:color="auto"/>
              <w:bottom w:val="single" w:sz="8" w:space="0" w:color="FFFFFF"/>
              <w:right w:val="single" w:sz="4" w:space="0" w:color="auto"/>
            </w:tcBorders>
            <w:shd w:val="clear" w:color="auto" w:fill="auto"/>
            <w:tcMar>
              <w:top w:w="15" w:type="dxa"/>
              <w:left w:w="15" w:type="dxa"/>
              <w:bottom w:w="0" w:type="dxa"/>
              <w:right w:w="15" w:type="dxa"/>
            </w:tcMar>
            <w:vAlign w:val="center"/>
          </w:tcPr>
          <w:p w:rsidR="00AF79A3" w:rsidRPr="00AF2F0E" w:rsidRDefault="00AF79A3" w:rsidP="00AF79A3">
            <w:pPr>
              <w:spacing w:after="0" w:line="240" w:lineRule="auto"/>
              <w:jc w:val="both"/>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PENINSULAR</w:t>
            </w:r>
          </w:p>
        </w:tc>
        <w:tc>
          <w:tcPr>
            <w:tcW w:w="1406" w:type="dxa"/>
            <w:tcBorders>
              <w:top w:val="nil"/>
              <w:left w:val="nil"/>
              <w:bottom w:val="nil"/>
              <w:right w:val="nil"/>
            </w:tcBorders>
            <w:shd w:val="clear" w:color="auto" w:fill="auto"/>
            <w:tcMar>
              <w:top w:w="15" w:type="dxa"/>
              <w:left w:w="15" w:type="dxa"/>
              <w:bottom w:w="0" w:type="dxa"/>
              <w:right w:w="15" w:type="dxa"/>
            </w:tcMar>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0.85</w:t>
            </w:r>
          </w:p>
        </w:tc>
        <w:tc>
          <w:tcPr>
            <w:tcW w:w="1407" w:type="dxa"/>
            <w:tcBorders>
              <w:top w:val="nil"/>
              <w:left w:val="nil"/>
              <w:bottom w:val="nil"/>
              <w:right w:val="nil"/>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0.70</w:t>
            </w:r>
          </w:p>
        </w:tc>
        <w:tc>
          <w:tcPr>
            <w:tcW w:w="1406" w:type="dxa"/>
            <w:tcBorders>
              <w:top w:val="nil"/>
              <w:left w:val="nil"/>
              <w:bottom w:val="nil"/>
              <w:right w:val="nil"/>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0.82</w:t>
            </w:r>
          </w:p>
        </w:tc>
        <w:tc>
          <w:tcPr>
            <w:tcW w:w="1407" w:type="dxa"/>
            <w:tcBorders>
              <w:top w:val="nil"/>
              <w:left w:val="nil"/>
              <w:bottom w:val="nil"/>
              <w:right w:val="nil"/>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246.45</w:t>
            </w:r>
          </w:p>
        </w:tc>
        <w:tc>
          <w:tcPr>
            <w:tcW w:w="1407" w:type="dxa"/>
            <w:tcBorders>
              <w:top w:val="nil"/>
              <w:left w:val="nil"/>
              <w:bottom w:val="nil"/>
              <w:right w:val="single" w:sz="4" w:space="0" w:color="auto"/>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75.55</w:t>
            </w:r>
          </w:p>
        </w:tc>
      </w:tr>
      <w:tr w:rsidR="00AF79A3" w:rsidRPr="00AF2F0E" w:rsidTr="00AF79A3">
        <w:trPr>
          <w:trHeight w:val="227"/>
        </w:trPr>
        <w:tc>
          <w:tcPr>
            <w:tcW w:w="1795" w:type="dxa"/>
            <w:tcBorders>
              <w:top w:val="single" w:sz="8" w:space="0" w:color="FFFFFF"/>
              <w:left w:val="single" w:sz="4" w:space="0" w:color="auto"/>
              <w:bottom w:val="single" w:sz="8" w:space="0" w:color="FFFFFF"/>
              <w:right w:val="single" w:sz="4" w:space="0" w:color="auto"/>
            </w:tcBorders>
            <w:shd w:val="clear" w:color="auto" w:fill="auto"/>
            <w:tcMar>
              <w:top w:w="15" w:type="dxa"/>
              <w:left w:w="15" w:type="dxa"/>
              <w:bottom w:w="0" w:type="dxa"/>
              <w:right w:w="15" w:type="dxa"/>
            </w:tcMar>
            <w:vAlign w:val="center"/>
          </w:tcPr>
          <w:p w:rsidR="00AF79A3" w:rsidRPr="00AF2F0E" w:rsidRDefault="00AF79A3" w:rsidP="00AF79A3">
            <w:pPr>
              <w:spacing w:after="0" w:line="240" w:lineRule="auto"/>
              <w:jc w:val="both"/>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SURESTE</w:t>
            </w:r>
          </w:p>
        </w:tc>
        <w:tc>
          <w:tcPr>
            <w:tcW w:w="1406" w:type="dxa"/>
            <w:tcBorders>
              <w:top w:val="nil"/>
              <w:left w:val="nil"/>
              <w:bottom w:val="nil"/>
              <w:right w:val="nil"/>
            </w:tcBorders>
            <w:shd w:val="clear" w:color="auto" w:fill="auto"/>
            <w:tcMar>
              <w:top w:w="15" w:type="dxa"/>
              <w:left w:w="15" w:type="dxa"/>
              <w:bottom w:w="0" w:type="dxa"/>
              <w:right w:w="15" w:type="dxa"/>
            </w:tcMar>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1.21</w:t>
            </w:r>
          </w:p>
        </w:tc>
        <w:tc>
          <w:tcPr>
            <w:tcW w:w="1407" w:type="dxa"/>
            <w:tcBorders>
              <w:top w:val="nil"/>
              <w:left w:val="nil"/>
              <w:bottom w:val="nil"/>
              <w:right w:val="nil"/>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1.04</w:t>
            </w:r>
          </w:p>
        </w:tc>
        <w:tc>
          <w:tcPr>
            <w:tcW w:w="1406" w:type="dxa"/>
            <w:tcBorders>
              <w:top w:val="nil"/>
              <w:left w:val="nil"/>
              <w:bottom w:val="nil"/>
              <w:right w:val="nil"/>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0.99</w:t>
            </w:r>
          </w:p>
        </w:tc>
        <w:tc>
          <w:tcPr>
            <w:tcW w:w="1407" w:type="dxa"/>
            <w:tcBorders>
              <w:top w:val="nil"/>
              <w:left w:val="nil"/>
              <w:bottom w:val="nil"/>
              <w:right w:val="nil"/>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391.60</w:t>
            </w:r>
          </w:p>
        </w:tc>
        <w:tc>
          <w:tcPr>
            <w:tcW w:w="1407" w:type="dxa"/>
            <w:tcBorders>
              <w:top w:val="nil"/>
              <w:left w:val="nil"/>
              <w:bottom w:val="nil"/>
              <w:right w:val="single" w:sz="4" w:space="0" w:color="auto"/>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125.83</w:t>
            </w:r>
          </w:p>
        </w:tc>
      </w:tr>
      <w:tr w:rsidR="00AF79A3" w:rsidRPr="00AF2F0E" w:rsidTr="00AF79A3">
        <w:trPr>
          <w:trHeight w:val="227"/>
        </w:trPr>
        <w:tc>
          <w:tcPr>
            <w:tcW w:w="1795" w:type="dxa"/>
            <w:tcBorders>
              <w:top w:val="single" w:sz="8" w:space="0" w:color="FFFFFF"/>
              <w:left w:val="single" w:sz="4" w:space="0" w:color="auto"/>
              <w:bottom w:val="single" w:sz="8" w:space="0" w:color="FFFFFF"/>
              <w:right w:val="single" w:sz="4" w:space="0" w:color="auto"/>
            </w:tcBorders>
            <w:shd w:val="clear" w:color="auto" w:fill="auto"/>
            <w:tcMar>
              <w:top w:w="15" w:type="dxa"/>
              <w:left w:w="15" w:type="dxa"/>
              <w:bottom w:w="0" w:type="dxa"/>
              <w:right w:w="15" w:type="dxa"/>
            </w:tcMar>
            <w:vAlign w:val="center"/>
          </w:tcPr>
          <w:p w:rsidR="00AF79A3" w:rsidRPr="00AF2F0E" w:rsidRDefault="00AF79A3" w:rsidP="00AF79A3">
            <w:pPr>
              <w:spacing w:after="0" w:line="240" w:lineRule="auto"/>
              <w:jc w:val="both"/>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VALLE MEXICO CENT</w:t>
            </w:r>
          </w:p>
        </w:tc>
        <w:tc>
          <w:tcPr>
            <w:tcW w:w="1406" w:type="dxa"/>
            <w:tcBorders>
              <w:top w:val="nil"/>
              <w:left w:val="nil"/>
              <w:bottom w:val="nil"/>
              <w:right w:val="nil"/>
            </w:tcBorders>
            <w:shd w:val="clear" w:color="auto" w:fill="auto"/>
            <w:tcMar>
              <w:top w:w="15" w:type="dxa"/>
              <w:left w:w="15" w:type="dxa"/>
              <w:bottom w:w="0" w:type="dxa"/>
              <w:right w:w="15" w:type="dxa"/>
            </w:tcMar>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0.69</w:t>
            </w:r>
          </w:p>
        </w:tc>
        <w:tc>
          <w:tcPr>
            <w:tcW w:w="1407" w:type="dxa"/>
            <w:tcBorders>
              <w:top w:val="nil"/>
              <w:left w:val="nil"/>
              <w:bottom w:val="nil"/>
              <w:right w:val="nil"/>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0.59</w:t>
            </w:r>
          </w:p>
        </w:tc>
        <w:tc>
          <w:tcPr>
            <w:tcW w:w="1406" w:type="dxa"/>
            <w:tcBorders>
              <w:top w:val="nil"/>
              <w:left w:val="nil"/>
              <w:bottom w:val="nil"/>
              <w:right w:val="nil"/>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0.56</w:t>
            </w:r>
          </w:p>
        </w:tc>
        <w:tc>
          <w:tcPr>
            <w:tcW w:w="1407" w:type="dxa"/>
            <w:tcBorders>
              <w:top w:val="nil"/>
              <w:left w:val="nil"/>
              <w:bottom w:val="nil"/>
              <w:right w:val="nil"/>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222.72</w:t>
            </w:r>
          </w:p>
        </w:tc>
        <w:tc>
          <w:tcPr>
            <w:tcW w:w="1407" w:type="dxa"/>
            <w:tcBorders>
              <w:top w:val="nil"/>
              <w:left w:val="nil"/>
              <w:bottom w:val="nil"/>
              <w:right w:val="single" w:sz="4" w:space="0" w:color="auto"/>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55.70</w:t>
            </w:r>
          </w:p>
        </w:tc>
      </w:tr>
      <w:tr w:rsidR="00AF79A3" w:rsidRPr="00AF2F0E" w:rsidTr="00AF79A3">
        <w:trPr>
          <w:trHeight w:val="227"/>
        </w:trPr>
        <w:tc>
          <w:tcPr>
            <w:tcW w:w="1795" w:type="dxa"/>
            <w:tcBorders>
              <w:top w:val="single" w:sz="8" w:space="0" w:color="FFFFFF"/>
              <w:left w:val="single" w:sz="4" w:space="0" w:color="auto"/>
              <w:bottom w:val="single" w:sz="8" w:space="0" w:color="FFFFFF"/>
              <w:right w:val="single" w:sz="4" w:space="0" w:color="auto"/>
            </w:tcBorders>
            <w:shd w:val="clear" w:color="auto" w:fill="auto"/>
            <w:tcMar>
              <w:top w:w="15" w:type="dxa"/>
              <w:left w:w="15" w:type="dxa"/>
              <w:bottom w:w="0" w:type="dxa"/>
              <w:right w:w="15" w:type="dxa"/>
            </w:tcMar>
            <w:vAlign w:val="center"/>
          </w:tcPr>
          <w:p w:rsidR="00AF79A3" w:rsidRPr="00AF2F0E" w:rsidRDefault="00AF79A3" w:rsidP="00AF79A3">
            <w:pPr>
              <w:spacing w:after="0" w:line="240" w:lineRule="auto"/>
              <w:jc w:val="both"/>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VALLE MEXICO NTE</w:t>
            </w:r>
          </w:p>
        </w:tc>
        <w:tc>
          <w:tcPr>
            <w:tcW w:w="1406" w:type="dxa"/>
            <w:tcBorders>
              <w:top w:val="nil"/>
              <w:left w:val="nil"/>
              <w:bottom w:val="nil"/>
              <w:right w:val="nil"/>
            </w:tcBorders>
            <w:shd w:val="clear" w:color="auto" w:fill="auto"/>
            <w:tcMar>
              <w:top w:w="15" w:type="dxa"/>
              <w:left w:w="15" w:type="dxa"/>
              <w:bottom w:w="0" w:type="dxa"/>
              <w:right w:w="15" w:type="dxa"/>
            </w:tcMar>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0.91</w:t>
            </w:r>
          </w:p>
        </w:tc>
        <w:tc>
          <w:tcPr>
            <w:tcW w:w="1407" w:type="dxa"/>
            <w:tcBorders>
              <w:top w:val="nil"/>
              <w:left w:val="nil"/>
              <w:bottom w:val="nil"/>
              <w:right w:val="nil"/>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0.78</w:t>
            </w:r>
          </w:p>
        </w:tc>
        <w:tc>
          <w:tcPr>
            <w:tcW w:w="1406" w:type="dxa"/>
            <w:tcBorders>
              <w:top w:val="nil"/>
              <w:left w:val="nil"/>
              <w:bottom w:val="nil"/>
              <w:right w:val="nil"/>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0.74</w:t>
            </w:r>
          </w:p>
        </w:tc>
        <w:tc>
          <w:tcPr>
            <w:tcW w:w="1407" w:type="dxa"/>
            <w:tcBorders>
              <w:top w:val="nil"/>
              <w:left w:val="nil"/>
              <w:bottom w:val="nil"/>
              <w:right w:val="nil"/>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294.97</w:t>
            </w:r>
          </w:p>
        </w:tc>
        <w:tc>
          <w:tcPr>
            <w:tcW w:w="1407" w:type="dxa"/>
            <w:tcBorders>
              <w:top w:val="nil"/>
              <w:left w:val="nil"/>
              <w:bottom w:val="nil"/>
              <w:right w:val="single" w:sz="4" w:space="0" w:color="auto"/>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81.66</w:t>
            </w:r>
          </w:p>
        </w:tc>
      </w:tr>
      <w:tr w:rsidR="00AF79A3" w:rsidRPr="00AF2F0E" w:rsidTr="00AF79A3">
        <w:trPr>
          <w:trHeight w:val="227"/>
        </w:trPr>
        <w:tc>
          <w:tcPr>
            <w:tcW w:w="1795" w:type="dxa"/>
            <w:tcBorders>
              <w:top w:val="single" w:sz="8" w:space="0" w:color="FFFFFF"/>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F79A3" w:rsidRPr="00AF2F0E" w:rsidRDefault="00AF79A3" w:rsidP="00AF79A3">
            <w:pPr>
              <w:spacing w:after="0" w:line="240" w:lineRule="auto"/>
              <w:jc w:val="both"/>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VALLE MEXICO SUR</w:t>
            </w:r>
          </w:p>
        </w:tc>
        <w:tc>
          <w:tcPr>
            <w:tcW w:w="1406" w:type="dxa"/>
            <w:tcBorders>
              <w:top w:val="nil"/>
              <w:left w:val="nil"/>
              <w:bottom w:val="single" w:sz="4" w:space="0" w:color="auto"/>
              <w:right w:val="nil"/>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0.87</w:t>
            </w:r>
          </w:p>
        </w:tc>
        <w:tc>
          <w:tcPr>
            <w:tcW w:w="1407" w:type="dxa"/>
            <w:tcBorders>
              <w:top w:val="nil"/>
              <w:left w:val="nil"/>
              <w:bottom w:val="single" w:sz="4" w:space="0" w:color="auto"/>
              <w:right w:val="nil"/>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0.75</w:t>
            </w:r>
          </w:p>
        </w:tc>
        <w:tc>
          <w:tcPr>
            <w:tcW w:w="1406" w:type="dxa"/>
            <w:tcBorders>
              <w:top w:val="nil"/>
              <w:left w:val="nil"/>
              <w:bottom w:val="single" w:sz="4" w:space="0" w:color="auto"/>
              <w:right w:val="nil"/>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0.71</w:t>
            </w:r>
          </w:p>
        </w:tc>
        <w:tc>
          <w:tcPr>
            <w:tcW w:w="1407" w:type="dxa"/>
            <w:tcBorders>
              <w:top w:val="nil"/>
              <w:left w:val="nil"/>
              <w:bottom w:val="single" w:sz="4" w:space="0" w:color="auto"/>
              <w:right w:val="nil"/>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281.83</w:t>
            </w:r>
          </w:p>
        </w:tc>
        <w:tc>
          <w:tcPr>
            <w:tcW w:w="1407" w:type="dxa"/>
            <w:tcBorders>
              <w:top w:val="nil"/>
              <w:left w:val="nil"/>
              <w:bottom w:val="single" w:sz="4" w:space="0" w:color="auto"/>
              <w:right w:val="single" w:sz="4" w:space="0" w:color="auto"/>
            </w:tcBorders>
            <w:shd w:val="clear" w:color="auto" w:fill="auto"/>
            <w:vAlign w:val="center"/>
          </w:tcPr>
          <w:p w:rsidR="00AF79A3" w:rsidRPr="00AF2F0E" w:rsidRDefault="00AF79A3" w:rsidP="00AF79A3">
            <w:pPr>
              <w:spacing w:after="0" w:line="240" w:lineRule="auto"/>
              <w:jc w:val="center"/>
              <w:rPr>
                <w:rFonts w:ascii="Arial Narrow" w:eastAsia="Times New Roman" w:hAnsi="Arial Narrow" w:cs="Times New Roman"/>
                <w:sz w:val="18"/>
                <w:szCs w:val="18"/>
                <w:lang w:val="es-AR" w:eastAsia="es-AR"/>
              </w:rPr>
            </w:pPr>
            <w:r w:rsidRPr="00AF2F0E">
              <w:rPr>
                <w:rFonts w:ascii="Arial Narrow" w:eastAsia="Times New Roman" w:hAnsi="Arial Narrow" w:cs="Times New Roman"/>
                <w:sz w:val="18"/>
                <w:szCs w:val="18"/>
                <w:lang w:val="es-AR" w:eastAsia="es-AR"/>
              </w:rPr>
              <w:t>63.21</w:t>
            </w:r>
          </w:p>
        </w:tc>
      </w:tr>
    </w:tbl>
    <w:p w:rsidR="00C47006" w:rsidRPr="00814C47" w:rsidRDefault="00C47006" w:rsidP="00814C47">
      <w:pPr>
        <w:spacing w:after="200" w:line="240" w:lineRule="auto"/>
        <w:contextualSpacing/>
        <w:jc w:val="both"/>
        <w:rPr>
          <w:rFonts w:ascii="Arial Narrow" w:hAnsi="Arial Narrow"/>
          <w:b/>
        </w:rPr>
      </w:pPr>
    </w:p>
    <w:p w:rsidR="00D03E17" w:rsidRPr="004465FD" w:rsidRDefault="009F11A7" w:rsidP="004465FD">
      <w:pPr>
        <w:spacing w:line="240" w:lineRule="auto"/>
        <w:jc w:val="both"/>
        <w:rPr>
          <w:rFonts w:ascii="Arial Narrow" w:hAnsi="Arial Narrow"/>
        </w:rPr>
      </w:pPr>
      <w:r w:rsidRPr="00814C47">
        <w:rPr>
          <w:rFonts w:ascii="Arial Narrow" w:hAnsi="Arial Narrow"/>
        </w:rPr>
        <w:t xml:space="preserve">Es importante señalar </w:t>
      </w:r>
      <w:r w:rsidR="00DC279A" w:rsidRPr="00814C47">
        <w:rPr>
          <w:rFonts w:ascii="Arial Narrow" w:hAnsi="Arial Narrow"/>
        </w:rPr>
        <w:t>que para llevar los valores desde el año base, 2014, al primer año de aplicación, 2016, se consideró una</w:t>
      </w:r>
      <w:r w:rsidR="008F66CD">
        <w:rPr>
          <w:rFonts w:ascii="Arial Narrow" w:hAnsi="Arial Narrow"/>
        </w:rPr>
        <w:t xml:space="preserve"> inflación promedio anual de 4%.</w:t>
      </w:r>
    </w:p>
    <w:p w:rsidR="004924E0" w:rsidRPr="004465FD" w:rsidRDefault="00C47006" w:rsidP="004465FD">
      <w:pPr>
        <w:pStyle w:val="Prrafodelista"/>
        <w:keepNext/>
        <w:keepLines/>
        <w:numPr>
          <w:ilvl w:val="1"/>
          <w:numId w:val="15"/>
        </w:numPr>
        <w:spacing w:after="0" w:line="240" w:lineRule="auto"/>
        <w:ind w:left="360"/>
        <w:jc w:val="both"/>
        <w:outlineLvl w:val="0"/>
        <w:rPr>
          <w:rFonts w:ascii="Arial Narrow" w:eastAsiaTheme="majorEastAsia" w:hAnsi="Arial Narrow" w:cstheme="majorBidi"/>
          <w:b/>
          <w:bCs/>
          <w:color w:val="000000" w:themeColor="text1"/>
        </w:rPr>
      </w:pPr>
      <w:r w:rsidRPr="004465FD">
        <w:rPr>
          <w:rFonts w:ascii="Arial Narrow" w:eastAsiaTheme="majorEastAsia" w:hAnsi="Arial Narrow" w:cstheme="majorBidi"/>
          <w:b/>
          <w:bCs/>
          <w:color w:val="000000" w:themeColor="text1"/>
        </w:rPr>
        <w:t xml:space="preserve">Remuneración de pérdidas </w:t>
      </w:r>
    </w:p>
    <w:p w:rsidR="00C55218" w:rsidRPr="00814C47" w:rsidRDefault="00154B0E" w:rsidP="00814C47">
      <w:pPr>
        <w:spacing w:after="200" w:line="240" w:lineRule="auto"/>
        <w:jc w:val="both"/>
        <w:rPr>
          <w:rFonts w:ascii="Arial Narrow" w:hAnsi="Arial Narrow" w:cs="Arial"/>
          <w:lang w:val="es-ES"/>
        </w:rPr>
      </w:pPr>
      <w:r w:rsidRPr="00814C47">
        <w:rPr>
          <w:rFonts w:ascii="Arial Narrow" w:hAnsi="Arial Narrow"/>
        </w:rPr>
        <w:t>Como se mencionó anteriormente, hasta ahora las tarifas aprobadas en el acuerdo A/047/2015 permiten al distribuidor recuperar su ingreso requerido sin considerar las pérdidas técnicas y no técnicas de energía en las que incurre al proveer el servicio</w:t>
      </w:r>
      <w:r w:rsidR="00720DC5">
        <w:rPr>
          <w:rFonts w:ascii="Arial Narrow" w:hAnsi="Arial Narrow"/>
        </w:rPr>
        <w:t>. Las</w:t>
      </w:r>
      <w:r w:rsidR="004924E0" w:rsidRPr="00814C47">
        <w:rPr>
          <w:rFonts w:ascii="Arial Narrow" w:hAnsi="Arial Narrow" w:cs="Arial"/>
          <w:lang w:val="es-ES"/>
        </w:rPr>
        <w:t xml:space="preserve"> pérdidas aprobadas por la Comisión, son las resultantes del análisis de la información presentada por CFE y expresadas como porcentajes de pérdidas de energía respecto al ingreso de energía en cada una de las divisiones de distribución</w:t>
      </w:r>
      <w:r w:rsidR="004465FD">
        <w:rPr>
          <w:rFonts w:ascii="Arial Narrow" w:hAnsi="Arial Narrow" w:cs="Arial"/>
          <w:lang w:val="es-ES"/>
        </w:rPr>
        <w:t>.</w:t>
      </w:r>
      <w:r w:rsidR="004924E0" w:rsidRPr="00814C47">
        <w:rPr>
          <w:rFonts w:ascii="Arial Narrow" w:hAnsi="Arial Narrow" w:cs="Arial"/>
          <w:lang w:val="es-ES"/>
        </w:rPr>
        <w:t xml:space="preserve"> En este apartado</w:t>
      </w:r>
      <w:r w:rsidR="00036667">
        <w:rPr>
          <w:rFonts w:ascii="Arial Narrow" w:hAnsi="Arial Narrow" w:cs="Arial"/>
          <w:lang w:val="es-ES"/>
        </w:rPr>
        <w:t xml:space="preserve"> se describe el mecanismo para la remuneración de las pérdidas reconocidas al distribuidor.</w:t>
      </w:r>
    </w:p>
    <w:p w:rsidR="00C55218" w:rsidRPr="00814C47" w:rsidRDefault="00C55218" w:rsidP="00814C47">
      <w:pPr>
        <w:spacing w:after="200" w:line="240" w:lineRule="auto"/>
        <w:jc w:val="both"/>
        <w:rPr>
          <w:rFonts w:ascii="Arial Narrow" w:hAnsi="Arial Narrow" w:cs="Arial"/>
          <w:lang w:val="es-ES"/>
        </w:rPr>
      </w:pPr>
      <w:r w:rsidRPr="00814C47">
        <w:rPr>
          <w:rFonts w:ascii="Arial Narrow" w:hAnsi="Arial Narrow"/>
        </w:rPr>
        <w:t>El procedimiento para incorporar el cos</w:t>
      </w:r>
      <w:r w:rsidR="00036667">
        <w:rPr>
          <w:rFonts w:ascii="Arial Narrow" w:hAnsi="Arial Narrow"/>
        </w:rPr>
        <w:t xml:space="preserve">to de pérdidas </w:t>
      </w:r>
      <w:r w:rsidRPr="00814C47">
        <w:rPr>
          <w:rFonts w:ascii="Arial Narrow" w:hAnsi="Arial Narrow"/>
        </w:rPr>
        <w:t>para cubrir los costos adecuados de operación y mantenimiento aplicables al servicio pú</w:t>
      </w:r>
      <w:r w:rsidR="00036667">
        <w:rPr>
          <w:rFonts w:ascii="Arial Narrow" w:hAnsi="Arial Narrow"/>
        </w:rPr>
        <w:t>blico de Distribución, es el siguiente:</w:t>
      </w:r>
    </w:p>
    <w:p w:rsidR="00E7780A" w:rsidRDefault="004465FD" w:rsidP="006F403C">
      <w:pPr>
        <w:pStyle w:val="Prrafodelista"/>
        <w:numPr>
          <w:ilvl w:val="0"/>
          <w:numId w:val="3"/>
        </w:numPr>
        <w:ind w:left="900" w:hanging="450"/>
        <w:rPr>
          <w:rFonts w:ascii="Arial Narrow" w:hAnsi="Arial Narrow"/>
          <w:lang w:val="es-UY"/>
        </w:rPr>
      </w:pPr>
      <w:r w:rsidRPr="006F403C">
        <w:rPr>
          <w:rFonts w:ascii="Arial Narrow" w:hAnsi="Arial Narrow"/>
          <w:lang w:val="es-UY"/>
        </w:rPr>
        <w:t>Se estiman Factores de P</w:t>
      </w:r>
      <w:r w:rsidR="00C55218" w:rsidRPr="006F403C">
        <w:rPr>
          <w:rFonts w:ascii="Arial Narrow" w:hAnsi="Arial Narrow"/>
          <w:lang w:val="es-UY"/>
        </w:rPr>
        <w:t>érdida</w:t>
      </w:r>
      <w:r w:rsidR="00036667" w:rsidRPr="006F403C">
        <w:rPr>
          <w:rFonts w:ascii="Arial Narrow" w:hAnsi="Arial Narrow"/>
          <w:lang w:val="es-UY"/>
        </w:rPr>
        <w:t>s (FP) para MT y BT por división de distribución</w:t>
      </w:r>
      <w:r w:rsidR="00C55218" w:rsidRPr="006F403C">
        <w:rPr>
          <w:rFonts w:ascii="Arial Narrow" w:hAnsi="Arial Narrow"/>
          <w:lang w:val="es-UY"/>
        </w:rPr>
        <w:t xml:space="preserve"> a partir del sendero propuesto de pérdidas reconocidas.</w:t>
      </w:r>
    </w:p>
    <w:p w:rsidR="006F403C" w:rsidRPr="006F403C" w:rsidRDefault="006F403C" w:rsidP="006F403C">
      <w:pPr>
        <w:pStyle w:val="Prrafodelista"/>
        <w:ind w:left="900"/>
        <w:rPr>
          <w:rFonts w:ascii="Arial Narrow" w:hAnsi="Arial Narrow"/>
          <w:lang w:val="es-UY"/>
        </w:rPr>
      </w:pPr>
    </w:p>
    <w:p w:rsidR="005F0CE9" w:rsidRPr="006F403C" w:rsidRDefault="00036667" w:rsidP="006F403C">
      <w:pPr>
        <w:pStyle w:val="Prrafodelista"/>
        <w:numPr>
          <w:ilvl w:val="0"/>
          <w:numId w:val="3"/>
        </w:numPr>
        <w:ind w:left="900" w:hanging="450"/>
        <w:rPr>
          <w:rFonts w:ascii="Arial Narrow" w:hAnsi="Arial Narrow"/>
        </w:rPr>
      </w:pPr>
      <w:r w:rsidRPr="006F403C">
        <w:rPr>
          <w:rFonts w:ascii="Arial Narrow" w:hAnsi="Arial Narrow"/>
          <w:lang w:val="es-UY"/>
        </w:rPr>
        <w:t>Los FP se multiplican por</w:t>
      </w:r>
      <w:r w:rsidR="005F0CE9" w:rsidRPr="006F403C">
        <w:rPr>
          <w:rFonts w:ascii="Arial Narrow" w:hAnsi="Arial Narrow"/>
          <w:lang w:val="es-UY"/>
        </w:rPr>
        <w:t xml:space="preserve"> la energía medida en bornes de usuarios de MT Y BT para obtener la energía inyectada al sistema de distribución eficiente </w:t>
      </w:r>
      <w:r w:rsidR="004465FD" w:rsidRPr="006F403C">
        <w:rPr>
          <w:rFonts w:ascii="Arial Narrow" w:hAnsi="Arial Narrow"/>
          <w:lang w:val="es-UY"/>
        </w:rPr>
        <w:t>como se muestra a continuación:</w:t>
      </w:r>
    </w:p>
    <w:p w:rsidR="00E7780A" w:rsidRPr="006F403C" w:rsidRDefault="002B10BE" w:rsidP="006F403C">
      <w:pPr>
        <w:rPr>
          <w:rFonts w:eastAsiaTheme="minorEastAsia"/>
          <w:iCs/>
        </w:rPr>
      </w:pPr>
      <m:oMathPara>
        <m:oMath>
          <m:sSub>
            <m:sSubPr>
              <m:ctrlPr>
                <w:rPr>
                  <w:rFonts w:ascii="Cambria Math" w:hAnsi="Cambria Math"/>
                  <w:i/>
                  <w:iCs/>
                </w:rPr>
              </m:ctrlPr>
            </m:sSubPr>
            <m:e>
              <m:r>
                <w:rPr>
                  <w:rFonts w:ascii="Cambria Math" w:hAnsi="Cambria Math"/>
                </w:rPr>
                <m:t>E</m:t>
              </m:r>
            </m:e>
            <m:sub>
              <m:r>
                <w:rPr>
                  <w:rFonts w:ascii="Cambria Math" w:hAnsi="Cambria Math"/>
                </w:rPr>
                <m:t>"inyectada"</m:t>
              </m:r>
            </m:sub>
          </m:sSub>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m</m:t>
              </m:r>
            </m:sub>
          </m:sSub>
          <m:r>
            <w:rPr>
              <w:rFonts w:ascii="Cambria Math" w:hAnsi="Cambria Math"/>
            </w:rPr>
            <m:t>*FP</m:t>
          </m:r>
        </m:oMath>
      </m:oMathPara>
    </w:p>
    <w:p w:rsidR="00E7780A" w:rsidRPr="006F403C" w:rsidRDefault="00E7780A" w:rsidP="006F403C">
      <w:pPr>
        <w:pStyle w:val="Prrafodelista"/>
        <w:numPr>
          <w:ilvl w:val="0"/>
          <w:numId w:val="3"/>
        </w:numPr>
        <w:ind w:left="900" w:hanging="450"/>
        <w:rPr>
          <w:rFonts w:ascii="Arial Narrow" w:hAnsi="Arial Narrow"/>
        </w:rPr>
      </w:pPr>
      <w:r w:rsidRPr="006F403C">
        <w:rPr>
          <w:rFonts w:ascii="Arial Narrow" w:hAnsi="Arial Narrow"/>
        </w:rPr>
        <w:t xml:space="preserve">Se calculan las </w:t>
      </w:r>
      <w:r w:rsidR="00A364DF" w:rsidRPr="006F403C">
        <w:rPr>
          <w:rFonts w:ascii="Arial Narrow" w:hAnsi="Arial Narrow"/>
        </w:rPr>
        <w:t xml:space="preserve">pérdidas </w:t>
      </w:r>
      <w:r w:rsidRPr="006F403C">
        <w:rPr>
          <w:rFonts w:ascii="Arial Narrow" w:hAnsi="Arial Narrow"/>
        </w:rPr>
        <w:t>de energía reconocida</w:t>
      </w:r>
      <w:r w:rsidR="00036667" w:rsidRPr="006F403C">
        <w:rPr>
          <w:rFonts w:ascii="Arial Narrow" w:hAnsi="Arial Narrow"/>
        </w:rPr>
        <w:t>s al restar la energía medida</w:t>
      </w:r>
      <w:r w:rsidRPr="006F403C">
        <w:rPr>
          <w:rFonts w:ascii="Arial Narrow" w:hAnsi="Arial Narrow"/>
        </w:rPr>
        <w:t xml:space="preserve"> al total de energía</w:t>
      </w:r>
      <w:r w:rsidR="00036667" w:rsidRPr="006F403C">
        <w:rPr>
          <w:rFonts w:ascii="Arial Narrow" w:hAnsi="Arial Narrow"/>
        </w:rPr>
        <w:t xml:space="preserve"> inyectada.</w:t>
      </w:r>
    </w:p>
    <w:p w:rsidR="00E7780A" w:rsidRPr="00814C47" w:rsidRDefault="00E7780A" w:rsidP="001A7EB4">
      <m:oMathPara>
        <m:oMath>
          <m:r>
            <w:rPr>
              <w:rFonts w:ascii="Cambria Math" w:hAnsi="Cambria Math"/>
            </w:rPr>
            <m:t>Energ</m:t>
          </m:r>
          <m:r>
            <m:rPr>
              <m:sty m:val="p"/>
            </m:rPr>
            <w:rPr>
              <w:rFonts w:ascii="Cambria Math" w:hAnsi="Cambria Math"/>
            </w:rPr>
            <m:t>í</m:t>
          </m:r>
          <m:r>
            <w:rPr>
              <w:rFonts w:ascii="Cambria Math" w:hAnsi="Cambria Math"/>
            </w:rPr>
            <m:t>a</m:t>
          </m:r>
          <m:r>
            <m:rPr>
              <m:sty m:val="p"/>
            </m:rPr>
            <w:rPr>
              <w:rFonts w:ascii="Cambria Math" w:hAnsi="Cambria Math"/>
            </w:rPr>
            <m:t xml:space="preserve"> </m:t>
          </m:r>
          <m:r>
            <w:rPr>
              <w:rFonts w:ascii="Cambria Math" w:hAnsi="Cambria Math"/>
            </w:rPr>
            <m:t>perdida</m:t>
          </m:r>
          <m:r>
            <m:rPr>
              <m:sty m:val="p"/>
            </m:rPr>
            <w:rPr>
              <w:rFonts w:ascii="Cambria Math" w:hAnsi="Cambria Math"/>
            </w:rPr>
            <m:t>=</m:t>
          </m:r>
          <m:sSub>
            <m:sSubPr>
              <m:ctrlPr>
                <w:rPr>
                  <w:rFonts w:ascii="Cambria Math" w:hAnsi="Cambria Math"/>
                  <w:iCs/>
                </w:rPr>
              </m:ctrlPr>
            </m:sSubPr>
            <m:e>
              <m:r>
                <w:rPr>
                  <w:rFonts w:ascii="Cambria Math" w:hAnsi="Cambria Math"/>
                </w:rPr>
                <m:t>E</m:t>
              </m:r>
            </m:e>
            <m:sub>
              <m:r>
                <m:rPr>
                  <m:nor/>
                </m:rPr>
                <w:rPr>
                  <w:rFonts w:hAnsi="Arial Narrow"/>
                  <w:iCs/>
                </w:rPr>
                <m:t>"</m:t>
              </m:r>
              <m:r>
                <m:rPr>
                  <m:nor/>
                </m:rPr>
                <w:rPr>
                  <w:rFonts w:ascii="Arial Narrow" w:hAnsi="Arial Narrow"/>
                  <w:iCs/>
                </w:rPr>
                <m:t>inyectada</m:t>
              </m:r>
              <m:r>
                <m:rPr>
                  <m:sty m:val="p"/>
                </m:rPr>
                <w:rPr>
                  <w:rFonts w:ascii="Cambria Math" w:hAnsi="Cambria Math"/>
                </w:rPr>
                <m:t>"</m:t>
              </m:r>
            </m:sub>
          </m:sSub>
          <m:r>
            <m:rPr>
              <m:sty m:val="p"/>
            </m:rPr>
            <w:rPr>
              <w:rFonts w:ascii="Cambria Math" w:hAnsi="Cambria Math"/>
            </w:rPr>
            <m:t>-</m:t>
          </m:r>
          <m:sSub>
            <m:sSubPr>
              <m:ctrlPr>
                <w:rPr>
                  <w:rFonts w:ascii="Cambria Math" w:hAnsi="Cambria Math"/>
                  <w:iCs/>
                </w:rPr>
              </m:ctrlPr>
            </m:sSubPr>
            <m:e>
              <m:r>
                <w:rPr>
                  <w:rFonts w:ascii="Cambria Math" w:hAnsi="Cambria Math"/>
                </w:rPr>
                <m:t>E</m:t>
              </m:r>
            </m:e>
            <m:sub>
              <m:r>
                <w:rPr>
                  <w:rFonts w:ascii="Cambria Math" w:hAnsi="Cambria Math"/>
                </w:rPr>
                <m:t>m</m:t>
              </m:r>
            </m:sub>
          </m:sSub>
        </m:oMath>
      </m:oMathPara>
    </w:p>
    <w:p w:rsidR="00C55218" w:rsidRPr="001A7EB4" w:rsidRDefault="00036667" w:rsidP="001A7EB4">
      <w:pPr>
        <w:pStyle w:val="Prrafodelista"/>
        <w:numPr>
          <w:ilvl w:val="0"/>
          <w:numId w:val="3"/>
        </w:numPr>
        <w:ind w:left="900" w:hanging="450"/>
        <w:rPr>
          <w:rFonts w:ascii="Arial Narrow" w:hAnsi="Arial Narrow"/>
        </w:rPr>
      </w:pPr>
      <w:r w:rsidRPr="001A7EB4">
        <w:rPr>
          <w:rFonts w:ascii="Arial Narrow" w:hAnsi="Arial Narrow"/>
          <w:lang w:val="es-UY"/>
        </w:rPr>
        <w:t xml:space="preserve">Para obtener </w:t>
      </w:r>
      <w:r w:rsidR="00E7780A" w:rsidRPr="001A7EB4">
        <w:rPr>
          <w:rFonts w:ascii="Arial Narrow" w:hAnsi="Arial Narrow"/>
          <w:lang w:val="es-UY"/>
        </w:rPr>
        <w:t>el cargo por pérdidas reconocidas s</w:t>
      </w:r>
      <w:r w:rsidR="005F0CE9" w:rsidRPr="001A7EB4">
        <w:rPr>
          <w:rFonts w:ascii="Arial Narrow" w:hAnsi="Arial Narrow"/>
          <w:lang w:val="es-UY"/>
        </w:rPr>
        <w:t>e valorizan las pérdid</w:t>
      </w:r>
      <w:r w:rsidRPr="001A7EB4">
        <w:rPr>
          <w:rFonts w:ascii="Arial Narrow" w:hAnsi="Arial Narrow"/>
          <w:lang w:val="es-UY"/>
        </w:rPr>
        <w:t xml:space="preserve">as considerando el precio </w:t>
      </w:r>
      <w:r w:rsidR="00DF3BE3">
        <w:rPr>
          <w:rFonts w:ascii="Arial Narrow" w:hAnsi="Arial Narrow"/>
          <w:lang w:val="es-UY"/>
        </w:rPr>
        <w:t xml:space="preserve">de mercado </w:t>
      </w:r>
      <w:r w:rsidRPr="001A7EB4">
        <w:rPr>
          <w:rFonts w:ascii="Arial Narrow" w:hAnsi="Arial Narrow"/>
          <w:lang w:val="es-UY"/>
        </w:rPr>
        <w:t>de la energía</w:t>
      </w:r>
      <w:r w:rsidR="00DF3BE3">
        <w:rPr>
          <w:rFonts w:ascii="Arial Narrow" w:hAnsi="Arial Narrow"/>
          <w:lang w:val="es-UY"/>
        </w:rPr>
        <w:t xml:space="preserve"> al momento de la consolidación</w:t>
      </w:r>
      <w:r w:rsidR="001A7EB4" w:rsidRPr="001A7EB4">
        <w:rPr>
          <w:rFonts w:ascii="Arial Narrow" w:hAnsi="Arial Narrow"/>
          <w:lang w:val="es-UY"/>
        </w:rPr>
        <w:t>.</w:t>
      </w:r>
    </w:p>
    <w:p w:rsidR="00E7780A" w:rsidRPr="001A7EB4" w:rsidRDefault="00E7780A" w:rsidP="001A7EB4">
      <w:pPr>
        <w:rPr>
          <w:rFonts w:ascii="Arial Narrow" w:eastAsiaTheme="minorEastAsia" w:hAnsi="Arial Narrow"/>
          <w:iCs/>
        </w:rPr>
      </w:pPr>
      <m:oMathPara>
        <m:oMath>
          <m:r>
            <w:rPr>
              <w:rFonts w:ascii="Cambria Math" w:hAnsi="Cambria Math"/>
            </w:rPr>
            <w:lastRenderedPageBreak/>
            <m:t>Cargo</m:t>
          </m:r>
          <m:r>
            <m:rPr>
              <m:sty m:val="p"/>
            </m:rPr>
            <w:rPr>
              <w:rFonts w:ascii="Cambria Math" w:hAnsi="Cambria Math"/>
            </w:rPr>
            <m:t xml:space="preserve"> </m:t>
          </m:r>
          <m:r>
            <w:rPr>
              <w:rFonts w:ascii="Cambria Math" w:hAnsi="Cambria Math"/>
            </w:rPr>
            <m:t>por</m:t>
          </m:r>
          <m:r>
            <m:rPr>
              <m:sty m:val="p"/>
            </m:rPr>
            <w:rPr>
              <w:rFonts w:ascii="Cambria Math" w:hAnsi="Cambria Math"/>
            </w:rPr>
            <m:t xml:space="preserve"> </m:t>
          </m:r>
          <m:r>
            <w:rPr>
              <w:rFonts w:ascii="Cambria Math" w:hAnsi="Cambria Math"/>
            </w:rPr>
            <m:t>p</m:t>
          </m:r>
          <m:r>
            <m:rPr>
              <m:sty m:val="p"/>
            </m:rPr>
            <w:rPr>
              <w:rFonts w:ascii="Cambria Math" w:hAnsi="Cambria Math"/>
            </w:rPr>
            <m:t>é</m:t>
          </m:r>
          <m:r>
            <w:rPr>
              <w:rFonts w:ascii="Cambria Math" w:hAnsi="Cambria Math"/>
            </w:rPr>
            <m:t>rdidas</m:t>
          </m:r>
          <m:r>
            <m:rPr>
              <m:sty m:val="p"/>
            </m:rPr>
            <w:rPr>
              <w:rFonts w:ascii="Cambria Math" w:hAnsi="Cambria Math"/>
            </w:rPr>
            <m:t>=</m:t>
          </m:r>
          <m:sSub>
            <m:sSubPr>
              <m:ctrlPr>
                <w:rPr>
                  <w:rFonts w:ascii="Cambria Math" w:hAnsi="Cambria Math"/>
                  <w:iCs/>
                </w:rPr>
              </m:ctrlPr>
            </m:sSubPr>
            <m:e>
              <m:r>
                <w:rPr>
                  <w:rFonts w:ascii="Cambria Math" w:hAnsi="Cambria Math"/>
                </w:rPr>
                <m:t>P</m:t>
              </m:r>
            </m:e>
            <m:sub>
              <m:r>
                <w:rPr>
                  <w:rFonts w:ascii="Cambria Math" w:hAnsi="Cambria Math"/>
                </w:rPr>
                <m:t>e</m:t>
              </m:r>
            </m:sub>
          </m:sSub>
          <m:r>
            <m:rPr>
              <m:sty m:val="p"/>
            </m:rPr>
            <w:rPr>
              <w:rFonts w:ascii="Cambria Math" w:hAnsi="Cambria Math"/>
            </w:rPr>
            <m:t>*</m:t>
          </m:r>
          <m:r>
            <w:rPr>
              <w:rFonts w:ascii="Cambria Math" w:hAnsi="Cambria Math"/>
            </w:rPr>
            <m:t>Energ</m:t>
          </m:r>
          <m:r>
            <m:rPr>
              <m:sty m:val="p"/>
            </m:rPr>
            <w:rPr>
              <w:rFonts w:ascii="Cambria Math" w:hAnsi="Cambria Math"/>
            </w:rPr>
            <m:t>í</m:t>
          </m:r>
          <m:r>
            <w:rPr>
              <w:rFonts w:ascii="Cambria Math" w:hAnsi="Cambria Math"/>
            </w:rPr>
            <m:t>a</m:t>
          </m:r>
          <m:r>
            <m:rPr>
              <m:sty m:val="p"/>
            </m:rPr>
            <w:rPr>
              <w:rFonts w:ascii="Cambria Math" w:hAnsi="Cambria Math"/>
            </w:rPr>
            <m:t xml:space="preserve"> </m:t>
          </m:r>
          <m:r>
            <w:rPr>
              <w:rFonts w:ascii="Cambria Math" w:hAnsi="Cambria Math"/>
            </w:rPr>
            <m:t>perdida</m:t>
          </m:r>
        </m:oMath>
      </m:oMathPara>
    </w:p>
    <w:p w:rsidR="00C55218" w:rsidRPr="00814C47" w:rsidRDefault="00A364DF" w:rsidP="001A7EB4">
      <w:pPr>
        <w:pStyle w:val="Prrafodelista"/>
        <w:numPr>
          <w:ilvl w:val="0"/>
          <w:numId w:val="3"/>
        </w:numPr>
        <w:spacing w:after="200" w:line="240" w:lineRule="auto"/>
        <w:ind w:left="900" w:hanging="450"/>
        <w:jc w:val="both"/>
        <w:rPr>
          <w:rFonts w:ascii="Arial Narrow" w:hAnsi="Arial Narrow" w:cs="Arial"/>
        </w:rPr>
      </w:pPr>
      <w:r w:rsidRPr="00814C47">
        <w:rPr>
          <w:rFonts w:ascii="Arial Narrow" w:hAnsi="Arial Narrow" w:cs="Arial"/>
        </w:rPr>
        <w:t xml:space="preserve">El cargo por pérdidas se suma al cargo tarifario aplicable a cada grupo en cada división de distribución. </w:t>
      </w:r>
    </w:p>
    <w:p w:rsidR="00A364DF" w:rsidRPr="00814C47" w:rsidRDefault="00A364DF" w:rsidP="00814C47">
      <w:pPr>
        <w:spacing w:after="200" w:line="240" w:lineRule="auto"/>
        <w:jc w:val="both"/>
        <w:rPr>
          <w:rFonts w:ascii="Arial Narrow" w:hAnsi="Arial Narrow" w:cs="Arial"/>
        </w:rPr>
      </w:pPr>
      <w:r w:rsidRPr="00814C47">
        <w:rPr>
          <w:rFonts w:ascii="Arial Narrow" w:hAnsi="Arial Narrow" w:cs="Arial"/>
          <w:lang w:val="es-ES"/>
        </w:rPr>
        <w:t xml:space="preserve">Finalmente, es importante mencionar que a partir de 2017 con el propósito de fomentar el desarrollo eficiente del segmento de distribución se consideró un valor </w:t>
      </w:r>
      <w:r w:rsidRPr="00814C47">
        <w:rPr>
          <w:rFonts w:ascii="Arial Narrow" w:hAnsi="Arial Narrow" w:cs="Arial"/>
        </w:rPr>
        <w:t xml:space="preserve">máximo reconocido de pérdidas no técnicas respecto a la energía ingresada de 5%. Donde divisiones que superen dicho porcentaje de pérdidas se le reconocerá una </w:t>
      </w:r>
      <w:r w:rsidR="00036667">
        <w:rPr>
          <w:rFonts w:ascii="Arial Narrow" w:hAnsi="Arial Narrow" w:cs="Arial"/>
        </w:rPr>
        <w:t>trayectoria de reducción aplicable</w:t>
      </w:r>
      <w:r w:rsidRPr="00814C47">
        <w:rPr>
          <w:rFonts w:ascii="Arial Narrow" w:hAnsi="Arial Narrow" w:cs="Arial"/>
        </w:rPr>
        <w:t xml:space="preserve"> para el segundo y tercer año del período transitorio. En el siguiente apartado se describe a detalle la metodología y el sendero de eficiencia en p</w:t>
      </w:r>
      <w:r w:rsidR="00132255">
        <w:rPr>
          <w:rFonts w:ascii="Arial Narrow" w:hAnsi="Arial Narrow" w:cs="Arial"/>
        </w:rPr>
        <w:t>érdidas a lo largo de periodo.</w:t>
      </w:r>
    </w:p>
    <w:p w:rsidR="00AD5D50" w:rsidRPr="00814C47" w:rsidRDefault="00AD5D50" w:rsidP="00814C47">
      <w:pPr>
        <w:spacing w:after="200" w:line="240" w:lineRule="auto"/>
        <w:jc w:val="both"/>
        <w:rPr>
          <w:rFonts w:ascii="Arial Narrow" w:hAnsi="Arial Narrow"/>
          <w:lang w:val="es-UY"/>
        </w:rPr>
      </w:pPr>
      <w:r w:rsidRPr="00814C47">
        <w:rPr>
          <w:rFonts w:ascii="Arial Narrow" w:hAnsi="Arial Narrow"/>
          <w:lang w:val="es-UY"/>
        </w:rPr>
        <w:t>A continuación se detallan los componentes de la metodología para el</w:t>
      </w:r>
      <w:r w:rsidR="00132255">
        <w:rPr>
          <w:rFonts w:ascii="Arial Narrow" w:hAnsi="Arial Narrow"/>
          <w:lang w:val="es-UY"/>
        </w:rPr>
        <w:t xml:space="preserve"> cálculo del cargo asociados a </w:t>
      </w:r>
      <w:r w:rsidRPr="00814C47">
        <w:rPr>
          <w:rFonts w:ascii="Arial Narrow" w:hAnsi="Arial Narrow"/>
          <w:lang w:val="es-UY"/>
        </w:rPr>
        <w:t xml:space="preserve">pérdidas reconocidas. </w:t>
      </w:r>
    </w:p>
    <w:p w:rsidR="003E3782" w:rsidRPr="003E3782" w:rsidRDefault="00A364DF" w:rsidP="003E3782">
      <w:pPr>
        <w:pStyle w:val="Prrafodelista"/>
        <w:keepNext/>
        <w:keepLines/>
        <w:numPr>
          <w:ilvl w:val="1"/>
          <w:numId w:val="15"/>
        </w:numPr>
        <w:spacing w:after="0" w:line="240" w:lineRule="auto"/>
        <w:ind w:left="360"/>
        <w:jc w:val="both"/>
        <w:outlineLvl w:val="0"/>
        <w:rPr>
          <w:rFonts w:ascii="Arial Narrow" w:eastAsiaTheme="majorEastAsia" w:hAnsi="Arial Narrow" w:cstheme="majorBidi"/>
          <w:b/>
          <w:bCs/>
          <w:color w:val="000000" w:themeColor="text1"/>
        </w:rPr>
      </w:pPr>
      <w:r w:rsidRPr="003E3782">
        <w:rPr>
          <w:rFonts w:ascii="Arial Narrow" w:eastAsiaTheme="majorEastAsia" w:hAnsi="Arial Narrow" w:cstheme="majorBidi"/>
          <w:b/>
          <w:bCs/>
          <w:color w:val="000000" w:themeColor="text1"/>
        </w:rPr>
        <w:t xml:space="preserve">Factores de pérdidas. </w:t>
      </w:r>
    </w:p>
    <w:p w:rsidR="00B24EB7" w:rsidRPr="00814C47" w:rsidRDefault="00A74C5C" w:rsidP="00814C47">
      <w:pPr>
        <w:spacing w:after="200" w:line="240" w:lineRule="auto"/>
        <w:jc w:val="both"/>
        <w:rPr>
          <w:rFonts w:ascii="Arial Narrow" w:hAnsi="Arial Narrow"/>
        </w:rPr>
      </w:pPr>
      <w:r w:rsidRPr="00814C47">
        <w:rPr>
          <w:rFonts w:ascii="Arial Narrow" w:hAnsi="Arial Narrow"/>
        </w:rPr>
        <w:t>Los factores de pérdidas sirve</w:t>
      </w:r>
      <w:r w:rsidR="00183008" w:rsidRPr="00814C47">
        <w:rPr>
          <w:rFonts w:ascii="Arial Narrow" w:hAnsi="Arial Narrow"/>
        </w:rPr>
        <w:t>n</w:t>
      </w:r>
      <w:r w:rsidR="00132255">
        <w:rPr>
          <w:rFonts w:ascii="Arial Narrow" w:hAnsi="Arial Narrow"/>
        </w:rPr>
        <w:t xml:space="preserve"> para</w:t>
      </w:r>
      <w:r w:rsidRPr="00814C47">
        <w:rPr>
          <w:rFonts w:ascii="Arial Narrow" w:hAnsi="Arial Narrow"/>
        </w:rPr>
        <w:t xml:space="preserve"> estimar el monto total de las pérdidas ya que nos da la energía </w:t>
      </w:r>
      <w:r w:rsidR="00D84484">
        <w:rPr>
          <w:rFonts w:ascii="Arial Narrow" w:hAnsi="Arial Narrow"/>
        </w:rPr>
        <w:t xml:space="preserve">que debería ser </w:t>
      </w:r>
      <w:r w:rsidRPr="00814C47">
        <w:rPr>
          <w:rFonts w:ascii="Arial Narrow" w:hAnsi="Arial Narrow"/>
        </w:rPr>
        <w:t>i</w:t>
      </w:r>
      <w:r w:rsidR="00132255">
        <w:rPr>
          <w:rFonts w:ascii="Arial Narrow" w:hAnsi="Arial Narrow"/>
        </w:rPr>
        <w:t xml:space="preserve">ngresada o inyectada a la red. </w:t>
      </w:r>
      <w:r w:rsidRPr="00814C47">
        <w:rPr>
          <w:rFonts w:ascii="Arial Narrow" w:hAnsi="Arial Narrow"/>
        </w:rPr>
        <w:t xml:space="preserve">Dicho factor se diferencia por </w:t>
      </w:r>
      <w:r w:rsidR="00D84484">
        <w:rPr>
          <w:rFonts w:ascii="Arial Narrow" w:hAnsi="Arial Narrow"/>
        </w:rPr>
        <w:t>nivel de tensión y división de D</w:t>
      </w:r>
      <w:r w:rsidRPr="00814C47">
        <w:rPr>
          <w:rFonts w:ascii="Arial Narrow" w:hAnsi="Arial Narrow"/>
        </w:rPr>
        <w:t xml:space="preserve">istribución. A continuación se describe </w:t>
      </w:r>
      <w:r w:rsidR="00D84484">
        <w:rPr>
          <w:rFonts w:ascii="Arial Narrow" w:hAnsi="Arial Narrow"/>
        </w:rPr>
        <w:t>el proceso de obtención el</w:t>
      </w:r>
      <w:r w:rsidRPr="00814C47">
        <w:rPr>
          <w:rFonts w:ascii="Arial Narrow" w:hAnsi="Arial Narrow"/>
        </w:rPr>
        <w:t xml:space="preserve"> factor. </w:t>
      </w:r>
    </w:p>
    <w:p w:rsidR="00B24EB7" w:rsidRPr="003E3782" w:rsidRDefault="00B24EB7" w:rsidP="003E3782">
      <w:pPr>
        <w:pStyle w:val="Prrafodelista"/>
        <w:keepNext/>
        <w:keepLines/>
        <w:numPr>
          <w:ilvl w:val="2"/>
          <w:numId w:val="15"/>
        </w:numPr>
        <w:spacing w:after="0" w:line="240" w:lineRule="auto"/>
        <w:ind w:left="450" w:hanging="450"/>
        <w:jc w:val="both"/>
        <w:outlineLvl w:val="0"/>
        <w:rPr>
          <w:rFonts w:ascii="Arial Narrow" w:eastAsiaTheme="majorEastAsia" w:hAnsi="Arial Narrow" w:cstheme="majorBidi"/>
          <w:b/>
          <w:bCs/>
          <w:color w:val="000000" w:themeColor="text1"/>
        </w:rPr>
      </w:pPr>
      <w:r w:rsidRPr="003E3782">
        <w:rPr>
          <w:rFonts w:ascii="Arial Narrow" w:eastAsiaTheme="majorEastAsia" w:hAnsi="Arial Narrow" w:cstheme="majorBidi"/>
          <w:b/>
          <w:bCs/>
          <w:color w:val="000000" w:themeColor="text1"/>
        </w:rPr>
        <w:t>Deter</w:t>
      </w:r>
      <w:r w:rsidR="00A74C5C" w:rsidRPr="003E3782">
        <w:rPr>
          <w:rFonts w:ascii="Arial Narrow" w:eastAsiaTheme="majorEastAsia" w:hAnsi="Arial Narrow" w:cstheme="majorBidi"/>
          <w:b/>
          <w:bCs/>
          <w:color w:val="000000" w:themeColor="text1"/>
        </w:rPr>
        <w:t>minación de factores de pérdidas</w:t>
      </w:r>
    </w:p>
    <w:p w:rsidR="00B24EB7" w:rsidRPr="00814C47" w:rsidRDefault="00132255" w:rsidP="00814C47">
      <w:pPr>
        <w:spacing w:line="240" w:lineRule="auto"/>
        <w:jc w:val="both"/>
        <w:rPr>
          <w:rFonts w:ascii="Arial Narrow" w:eastAsiaTheme="minorEastAsia" w:hAnsi="Arial Narrow"/>
        </w:rPr>
      </w:pPr>
      <w:r>
        <w:rPr>
          <w:rFonts w:ascii="Arial Narrow" w:hAnsi="Arial Narrow"/>
        </w:rPr>
        <w:t xml:space="preserve">El factor de pérdidas técnicas </w:t>
      </w:r>
      <w:r w:rsidR="00A74C5C" w:rsidRPr="00814C47">
        <w:rPr>
          <w:rFonts w:ascii="Arial Narrow" w:hAnsi="Arial Narrow"/>
        </w:rPr>
        <w:t xml:space="preserve">del nivel de tensión </w:t>
      </w:r>
      <m:oMath>
        <m:r>
          <w:rPr>
            <w:rFonts w:ascii="Cambria Math" w:hAnsi="Cambria Math"/>
          </w:rPr>
          <m:t>j</m:t>
        </m:r>
      </m:oMath>
      <w:r>
        <w:rPr>
          <w:rFonts w:ascii="Arial Narrow" w:hAnsi="Arial Narrow"/>
        </w:rPr>
        <w:t xml:space="preserve"> </w:t>
      </w:r>
      <w:r w:rsidR="00A74C5C" w:rsidRPr="00814C47">
        <w:rPr>
          <w:rFonts w:ascii="Arial Narrow" w:hAnsi="Arial Narrow"/>
        </w:rPr>
        <w:t xml:space="preserve">en este caso </w:t>
      </w:r>
      <m:oMath>
        <m:r>
          <w:rPr>
            <w:rFonts w:ascii="Cambria Math" w:hAnsi="Cambria Math"/>
          </w:rPr>
          <m:t>MT o BT</m:t>
        </m:r>
      </m:oMath>
      <w:r w:rsidR="00A74C5C" w:rsidRPr="00814C47">
        <w:rPr>
          <w:rFonts w:ascii="Arial Narrow" w:hAnsi="Arial Narrow"/>
        </w:rPr>
        <w:t xml:space="preserve">  esta dado por </w:t>
      </w:r>
      <m:oMath>
        <m:r>
          <w:rPr>
            <w:rFonts w:ascii="Cambria Math" w:hAnsi="Cambria Math"/>
          </w:rPr>
          <m:t>FPj=1/(1-%Pej)</m:t>
        </m:r>
      </m:oMath>
      <w:r w:rsidR="00A74C5C" w:rsidRPr="00814C47">
        <w:rPr>
          <w:rFonts w:ascii="Arial Narrow" w:hAnsi="Arial Narrow"/>
        </w:rPr>
        <w:t xml:space="preserve"> , donde</w:t>
      </w:r>
      <m:oMath>
        <m:r>
          <w:rPr>
            <w:rFonts w:ascii="Cambria Math" w:hAnsi="Cambria Math"/>
          </w:rPr>
          <m:t xml:space="preserve"> %Pej</m:t>
        </m:r>
      </m:oMath>
      <w:r>
        <w:rPr>
          <w:rFonts w:ascii="Arial Narrow" w:hAnsi="Arial Narrow"/>
        </w:rPr>
        <w:t xml:space="preserve"> es el porcentaje de pérdidas en el nivel de tensión</w:t>
      </w:r>
      <w:r w:rsidR="00A74C5C" w:rsidRPr="00814C47">
        <w:rPr>
          <w:rFonts w:ascii="Arial Narrow" w:hAnsi="Arial Narrow"/>
        </w:rPr>
        <w:t xml:space="preserve"> </w:t>
      </w:r>
      <m:oMath>
        <m:r>
          <w:rPr>
            <w:rFonts w:ascii="Cambria Math" w:hAnsi="Cambria Math"/>
          </w:rPr>
          <m:t>j</m:t>
        </m:r>
      </m:oMath>
      <w:r>
        <w:rPr>
          <w:rFonts w:ascii="Arial Narrow" w:hAnsi="Arial Narrow"/>
        </w:rPr>
        <w:t xml:space="preserve"> </w:t>
      </w:r>
      <w:r w:rsidR="00602243" w:rsidRPr="00814C47">
        <w:rPr>
          <w:rFonts w:ascii="Arial Narrow" w:hAnsi="Arial Narrow"/>
        </w:rPr>
        <w:t xml:space="preserve">respecto </w:t>
      </w:r>
      <w:r w:rsidR="00DF3BE3">
        <w:rPr>
          <w:rFonts w:ascii="Arial Narrow" w:hAnsi="Arial Narrow"/>
        </w:rPr>
        <w:t>de</w:t>
      </w:r>
      <w:r w:rsidR="00602243" w:rsidRPr="00814C47">
        <w:rPr>
          <w:rFonts w:ascii="Arial Narrow" w:hAnsi="Arial Narrow"/>
        </w:rPr>
        <w:t xml:space="preserve"> la energía ingr</w:t>
      </w:r>
      <w:r>
        <w:rPr>
          <w:rFonts w:ascii="Arial Narrow" w:hAnsi="Arial Narrow"/>
        </w:rPr>
        <w:t>esada en dicho nivel de tensión reconocidas al distribuidor.</w:t>
      </w:r>
    </w:p>
    <w:p w:rsidR="00115986" w:rsidRPr="00814C47" w:rsidRDefault="00115986" w:rsidP="00814C47">
      <w:pPr>
        <w:spacing w:line="240" w:lineRule="auto"/>
        <w:jc w:val="both"/>
        <w:rPr>
          <w:rFonts w:ascii="Arial Narrow" w:hAnsi="Arial Narrow"/>
        </w:rPr>
      </w:pPr>
      <w:r w:rsidRPr="00814C47">
        <w:rPr>
          <w:rFonts w:ascii="Arial Narrow" w:hAnsi="Arial Narrow"/>
        </w:rPr>
        <w:t xml:space="preserve">Para ejemplificar la obtención del factor de pérdidas se presenta el </w:t>
      </w:r>
      <w:r w:rsidR="00602243" w:rsidRPr="00814C47">
        <w:rPr>
          <w:rFonts w:ascii="Arial Narrow" w:hAnsi="Arial Narrow"/>
        </w:rPr>
        <w:t xml:space="preserve">siguiente esquema </w:t>
      </w:r>
      <w:r w:rsidRPr="00814C47">
        <w:rPr>
          <w:rFonts w:ascii="Arial Narrow" w:hAnsi="Arial Narrow"/>
        </w:rPr>
        <w:t>que simplifica e</w:t>
      </w:r>
      <w:r w:rsidR="00132255">
        <w:rPr>
          <w:rFonts w:ascii="Arial Narrow" w:hAnsi="Arial Narrow"/>
        </w:rPr>
        <w:t>l uso de</w:t>
      </w:r>
      <w:r w:rsidR="00F17DF7" w:rsidRPr="00814C47">
        <w:rPr>
          <w:rFonts w:ascii="Arial Narrow" w:hAnsi="Arial Narrow"/>
        </w:rPr>
        <w:t xml:space="preserve"> la red de distri</w:t>
      </w:r>
      <w:r w:rsidR="00132255">
        <w:rPr>
          <w:rFonts w:ascii="Arial Narrow" w:hAnsi="Arial Narrow"/>
        </w:rPr>
        <w:t>bución en el  nivel de  tensión</w:t>
      </w:r>
      <w:r w:rsidR="00F17DF7" w:rsidRPr="00814C47">
        <w:rPr>
          <w:rFonts w:ascii="Arial Narrow" w:hAnsi="Arial Narrow"/>
        </w:rPr>
        <w:t xml:space="preserve"> </w:t>
      </w:r>
      <m:oMath>
        <m:r>
          <w:rPr>
            <w:rFonts w:ascii="Cambria Math" w:hAnsi="Cambria Math"/>
          </w:rPr>
          <m:t>j</m:t>
        </m:r>
      </m:oMath>
      <w:r w:rsidR="00132255">
        <w:rPr>
          <w:rFonts w:ascii="Arial Narrow" w:hAnsi="Arial Narrow"/>
        </w:rPr>
        <w:t xml:space="preserve">. </w:t>
      </w:r>
      <w:r w:rsidR="00B24EB7" w:rsidRPr="00814C47">
        <w:rPr>
          <w:rFonts w:ascii="Arial Narrow" w:hAnsi="Arial Narrow"/>
        </w:rPr>
        <w:t xml:space="preserve">A continuación, se presenta un esquema simplificado de la red de </w:t>
      </w:r>
      <w:r w:rsidR="00FF0EBA" w:rsidRPr="00814C47">
        <w:rPr>
          <w:rFonts w:ascii="Arial Narrow" w:hAnsi="Arial Narrow"/>
        </w:rPr>
        <w:t>un nivel de tensión determinada</w:t>
      </w:r>
    </w:p>
    <w:p w:rsidR="00091390" w:rsidRPr="00720DC5" w:rsidRDefault="00F17DF7" w:rsidP="00720DC5">
      <w:pPr>
        <w:pStyle w:val="Descripcin"/>
        <w:spacing w:after="360"/>
        <w:ind w:left="706" w:hanging="706"/>
        <w:jc w:val="center"/>
        <w:rPr>
          <w:sz w:val="18"/>
          <w:szCs w:val="20"/>
          <w:highlight w:val="yellow"/>
        </w:rPr>
      </w:pPr>
      <w:r w:rsidRPr="00720DC5">
        <w:rPr>
          <w:noProof/>
          <w:sz w:val="18"/>
          <w:szCs w:val="20"/>
          <w:highlight w:val="yellow"/>
          <w:lang w:eastAsia="es-MX"/>
        </w:rPr>
        <mc:AlternateContent>
          <mc:Choice Requires="wps">
            <w:drawing>
              <wp:anchor distT="0" distB="0" distL="114300" distR="114300" simplePos="0" relativeHeight="251666432" behindDoc="0" locked="0" layoutInCell="1" allowOverlap="1" wp14:anchorId="57EE2B9E" wp14:editId="670C2CC1">
                <wp:simplePos x="0" y="0"/>
                <wp:positionH relativeFrom="column">
                  <wp:posOffset>1916982</wp:posOffset>
                </wp:positionH>
                <wp:positionV relativeFrom="paragraph">
                  <wp:posOffset>232687</wp:posOffset>
                </wp:positionV>
                <wp:extent cx="1574358" cy="294198"/>
                <wp:effectExtent l="0" t="0" r="26035" b="10795"/>
                <wp:wrapNone/>
                <wp:docPr id="33" name="Rectángulo 33"/>
                <wp:cNvGraphicFramePr/>
                <a:graphic xmlns:a="http://schemas.openxmlformats.org/drawingml/2006/main">
                  <a:graphicData uri="http://schemas.microsoft.com/office/word/2010/wordprocessingShape">
                    <wps:wsp>
                      <wps:cNvSpPr/>
                      <wps:spPr>
                        <a:xfrm>
                          <a:off x="0" y="0"/>
                          <a:ext cx="1574358" cy="294198"/>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rsidR="00CA1BBD" w:rsidRDefault="00CA1BBD" w:rsidP="00115986">
                            <w:pPr>
                              <w:jc w:val="center"/>
                            </w:pPr>
                            <m:oMathPara>
                              <m:oMath>
                                <m:r>
                                  <w:rPr>
                                    <w:rFonts w:ascii="Cambria Math" w:hAnsi="Cambria Math"/>
                                  </w:rPr>
                                  <m:t>%Pej=pej/ij</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EE2B9E" id="Rectángulo 33" o:spid="_x0000_s1026" style="position:absolute;left:0;text-align:left;margin-left:150.95pt;margin-top:18.3pt;width:123.95pt;height:23.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" fillcolor="#1f497d [3215]" strokecolor="#243f60 [1604]" strokeweight="1pt">
                <v:textbox>
                  <w:txbxContent>
                    <w:p w:rsidR="00CA1BBD" w:rsidRDefault="00CA1BBD" w:rsidP="00115986">
                      <w:pPr>
                        <w:jc w:val="center"/>
                      </w:pPr>
                      <m:oMathPara>
                        <m:oMath>
                          <m:r>
                            <w:rPr>
                              <w:rFonts w:ascii="Cambria Math" w:hAnsi="Cambria Math"/>
                            </w:rPr>
                            <m:t>%Pej=pej/ij</m:t>
                          </m:r>
                        </m:oMath>
                      </m:oMathPara>
                    </w:p>
                  </w:txbxContent>
                </v:textbox>
              </v:rect>
            </w:pict>
          </mc:Fallback>
        </mc:AlternateContent>
      </w:r>
      <w:r w:rsidR="00A34C2E" w:rsidRPr="00720DC5">
        <w:rPr>
          <w:sz w:val="20"/>
        </w:rPr>
        <w:t xml:space="preserve">Ilustración </w:t>
      </w:r>
      <w:r w:rsidR="00A34C2E" w:rsidRPr="00720DC5">
        <w:rPr>
          <w:sz w:val="20"/>
        </w:rPr>
        <w:fldChar w:fldCharType="begin"/>
      </w:r>
      <w:r w:rsidR="00A34C2E" w:rsidRPr="00720DC5">
        <w:rPr>
          <w:sz w:val="20"/>
        </w:rPr>
        <w:instrText xml:space="preserve"> SEQ Ilustración \* ARABIC </w:instrText>
      </w:r>
      <w:r w:rsidR="00A34C2E" w:rsidRPr="00720DC5">
        <w:rPr>
          <w:sz w:val="20"/>
        </w:rPr>
        <w:fldChar w:fldCharType="separate"/>
      </w:r>
      <w:r w:rsidR="00A34C2E" w:rsidRPr="00720DC5">
        <w:rPr>
          <w:noProof/>
          <w:sz w:val="20"/>
        </w:rPr>
        <w:t>1</w:t>
      </w:r>
      <w:r w:rsidR="00A34C2E" w:rsidRPr="00720DC5">
        <w:rPr>
          <w:sz w:val="20"/>
        </w:rPr>
        <w:fldChar w:fldCharType="end"/>
      </w:r>
      <w:r w:rsidR="00A34C2E" w:rsidRPr="00720DC5">
        <w:rPr>
          <w:sz w:val="20"/>
        </w:rPr>
        <w:t>. Esquema del sistema de distribución</w:t>
      </w:r>
    </w:p>
    <w:p w:rsidR="00B24EB7" w:rsidRPr="0096062C" w:rsidRDefault="00F17DF7" w:rsidP="00814C47">
      <w:pPr>
        <w:spacing w:line="240" w:lineRule="auto"/>
        <w:jc w:val="both"/>
        <w:rPr>
          <w:rFonts w:ascii="Arial Narrow" w:hAnsi="Arial Narrow"/>
        </w:rPr>
      </w:pPr>
      <w:r w:rsidRPr="0096062C">
        <w:rPr>
          <w:rFonts w:ascii="Arial Narrow" w:hAnsi="Arial Narrow"/>
          <w:noProof/>
          <w:lang w:eastAsia="es-MX"/>
        </w:rPr>
        <mc:AlternateContent>
          <mc:Choice Requires="wps">
            <w:drawing>
              <wp:anchor distT="0" distB="0" distL="114300" distR="114300" simplePos="0" relativeHeight="251667456" behindDoc="0" locked="0" layoutInCell="1" allowOverlap="1" wp14:anchorId="591DD894" wp14:editId="690A9841">
                <wp:simplePos x="0" y="0"/>
                <wp:positionH relativeFrom="column">
                  <wp:posOffset>3497470</wp:posOffset>
                </wp:positionH>
                <wp:positionV relativeFrom="paragraph">
                  <wp:posOffset>87271</wp:posOffset>
                </wp:positionV>
                <wp:extent cx="294198" cy="206734"/>
                <wp:effectExtent l="0" t="0" r="48895" b="98425"/>
                <wp:wrapNone/>
                <wp:docPr id="34" name="Conector angular 34"/>
                <wp:cNvGraphicFramePr/>
                <a:graphic xmlns:a="http://schemas.openxmlformats.org/drawingml/2006/main">
                  <a:graphicData uri="http://schemas.microsoft.com/office/word/2010/wordprocessingShape">
                    <wps:wsp>
                      <wps:cNvCnPr/>
                      <wps:spPr>
                        <a:xfrm>
                          <a:off x="0" y="0"/>
                          <a:ext cx="294198" cy="206734"/>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EBFFCC8"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34" o:spid="_x0000_s1026" type="#_x0000_t34" style="position:absolute;margin-left:275.4pt;margin-top:6.85pt;width:23.15pt;height:1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" strokecolor="#4f81bd [3204]" strokeweight=".5pt">
                <v:stroke endarrow="block"/>
              </v:shape>
            </w:pict>
          </mc:Fallback>
        </mc:AlternateContent>
      </w:r>
      <w:r w:rsidRPr="0096062C">
        <w:rPr>
          <w:rFonts w:ascii="Arial Narrow" w:hAnsi="Arial Narrow"/>
          <w:noProof/>
          <w:lang w:eastAsia="es-MX"/>
        </w:rPr>
        <mc:AlternateContent>
          <mc:Choice Requires="wps">
            <w:drawing>
              <wp:anchor distT="0" distB="0" distL="114300" distR="114300" simplePos="0" relativeHeight="251665408" behindDoc="0" locked="0" layoutInCell="1" allowOverlap="1" wp14:anchorId="567FE46E" wp14:editId="036B429B">
                <wp:simplePos x="0" y="0"/>
                <wp:positionH relativeFrom="column">
                  <wp:posOffset>1431373</wp:posOffset>
                </wp:positionH>
                <wp:positionV relativeFrom="paragraph">
                  <wp:posOffset>71120</wp:posOffset>
                </wp:positionV>
                <wp:extent cx="445273" cy="7952"/>
                <wp:effectExtent l="0" t="57150" r="31115" b="87630"/>
                <wp:wrapNone/>
                <wp:docPr id="32" name="Conector recto de flecha 32"/>
                <wp:cNvGraphicFramePr/>
                <a:graphic xmlns:a="http://schemas.openxmlformats.org/drawingml/2006/main">
                  <a:graphicData uri="http://schemas.microsoft.com/office/word/2010/wordprocessingShape">
                    <wps:wsp>
                      <wps:cNvCnPr/>
                      <wps:spPr>
                        <a:xfrm>
                          <a:off x="0" y="0"/>
                          <a:ext cx="445273" cy="79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621FB9D" id="_x0000_t32" coordsize="21600,21600" o:spt="32" o:oned="t" path="m,l21600,21600e" filled="f">
                <v:path arrowok="t" fillok="f" o:connecttype="none"/>
                <o:lock v:ext="edit" shapetype="t"/>
              </v:shapetype>
              <v:shape id="Conector recto de flecha 32" o:spid="_x0000_s1026" type="#_x0000_t32" style="position:absolute;margin-left:112.7pt;margin-top:5.6pt;width:35.05pt;height:.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" strokecolor="#4f81bd [3204]" strokeweight=".5pt">
                <v:stroke endarrow="block" joinstyle="miter"/>
              </v:shape>
            </w:pict>
          </mc:Fallback>
        </mc:AlternateContent>
      </w:r>
      <w:r w:rsidR="00115986" w:rsidRPr="0096062C">
        <w:rPr>
          <w:rFonts w:ascii="Arial Narrow" w:hAnsi="Arial Narrow"/>
        </w:rPr>
        <w:t xml:space="preserve">                  </w:t>
      </w:r>
      <w:r w:rsidRPr="0096062C">
        <w:rPr>
          <w:rFonts w:ascii="Arial Narrow" w:hAnsi="Arial Narrow"/>
        </w:rPr>
        <w:t xml:space="preserve">                       </w:t>
      </w:r>
      <w:r w:rsidR="00115986" w:rsidRPr="0096062C">
        <w:rPr>
          <w:rFonts w:ascii="Arial Narrow" w:hAnsi="Arial Narrow"/>
        </w:rPr>
        <w:t xml:space="preserve"> </w:t>
      </w:r>
      <m:oMath>
        <m:r>
          <w:rPr>
            <w:rFonts w:ascii="Cambria Math" w:hAnsi="Cambria Math"/>
          </w:rPr>
          <m:t>ij</m:t>
        </m:r>
      </m:oMath>
      <w:r w:rsidR="00115986" w:rsidRPr="0096062C">
        <w:rPr>
          <w:rFonts w:ascii="Arial Narrow" w:eastAsiaTheme="minorEastAsia" w:hAnsi="Arial Narrow"/>
        </w:rPr>
        <w:t xml:space="preserve"> </w:t>
      </w:r>
    </w:p>
    <w:p w:rsidR="00B24EB7" w:rsidRPr="00814C47" w:rsidRDefault="00115986" w:rsidP="00814C47">
      <w:pPr>
        <w:spacing w:line="240" w:lineRule="auto"/>
        <w:jc w:val="both"/>
        <w:rPr>
          <w:rFonts w:ascii="Arial Narrow" w:hAnsi="Arial Narrow"/>
        </w:rPr>
      </w:pPr>
      <w:r w:rsidRPr="0096062C">
        <w:rPr>
          <w:rFonts w:ascii="Arial Narrow" w:hAnsi="Arial Narrow"/>
        </w:rPr>
        <w:t xml:space="preserve">                                                  </w:t>
      </w:r>
      <w:r w:rsidR="00F17DF7" w:rsidRPr="0096062C">
        <w:rPr>
          <w:rFonts w:ascii="Arial Narrow" w:hAnsi="Arial Narrow"/>
        </w:rPr>
        <w:t xml:space="preserve">                                                                      </w:t>
      </w:r>
      <m:oMath>
        <m:r>
          <w:rPr>
            <w:rFonts w:ascii="Cambria Math" w:hAnsi="Cambria Math"/>
          </w:rPr>
          <m:t>Em</m:t>
        </m:r>
      </m:oMath>
    </w:p>
    <w:p w:rsidR="00132255" w:rsidRDefault="00B17CAF" w:rsidP="00814C47">
      <w:pPr>
        <w:spacing w:line="240" w:lineRule="auto"/>
        <w:jc w:val="both"/>
        <w:rPr>
          <w:rFonts w:ascii="Arial Narrow" w:hAnsi="Arial Narrow"/>
        </w:rPr>
      </w:pPr>
      <w:r w:rsidRPr="00814C47">
        <w:rPr>
          <w:rFonts w:ascii="Arial Narrow" w:hAnsi="Arial Narrow"/>
        </w:rPr>
        <w:t>Donde:</w:t>
      </w:r>
    </w:p>
    <w:p w:rsidR="00B24EB7" w:rsidRPr="00814C47" w:rsidRDefault="00B17CAF" w:rsidP="00F615BE">
      <w:pPr>
        <w:spacing w:line="240" w:lineRule="auto"/>
        <w:jc w:val="both"/>
        <w:rPr>
          <w:rFonts w:ascii="Arial Narrow" w:hAnsi="Arial Narrow"/>
        </w:rPr>
      </w:pPr>
      <m:oMath>
        <m:r>
          <w:rPr>
            <w:rFonts w:ascii="Cambria Math" w:hAnsi="Cambria Math"/>
          </w:rPr>
          <m:t xml:space="preserve">j </m:t>
        </m:r>
      </m:oMath>
      <w:r w:rsidR="00B24EB7" w:rsidRPr="00814C47">
        <w:rPr>
          <w:rFonts w:ascii="Arial Narrow" w:hAnsi="Arial Narrow"/>
        </w:rPr>
        <w:t>= Nivel de tensión (BT o MT)</w:t>
      </w:r>
    </w:p>
    <w:p w:rsidR="00B24EB7" w:rsidRPr="00814C47" w:rsidRDefault="00B17CAF" w:rsidP="00814C47">
      <w:pPr>
        <w:spacing w:line="240" w:lineRule="auto"/>
        <w:jc w:val="both"/>
        <w:rPr>
          <w:rFonts w:ascii="Arial Narrow" w:hAnsi="Arial Narrow"/>
        </w:rPr>
      </w:pPr>
      <m:oMath>
        <m:r>
          <w:rPr>
            <w:rFonts w:ascii="Cambria Math" w:hAnsi="Cambria Math"/>
          </w:rPr>
          <m:t xml:space="preserve">ij </m:t>
        </m:r>
      </m:oMath>
      <w:r w:rsidR="00B24EB7" w:rsidRPr="00814C47">
        <w:rPr>
          <w:rFonts w:ascii="Arial Narrow" w:hAnsi="Arial Narrow"/>
        </w:rPr>
        <w:t>= Energía ingresada</w:t>
      </w:r>
    </w:p>
    <w:p w:rsidR="00B24EB7" w:rsidRPr="00814C47" w:rsidRDefault="00B17CAF" w:rsidP="00814C47">
      <w:pPr>
        <w:spacing w:line="240" w:lineRule="auto"/>
        <w:jc w:val="both"/>
        <w:rPr>
          <w:rFonts w:ascii="Arial Narrow" w:hAnsi="Arial Narrow"/>
        </w:rPr>
      </w:pPr>
      <m:oMath>
        <m:r>
          <w:rPr>
            <w:rFonts w:ascii="Cambria Math" w:hAnsi="Cambria Math"/>
          </w:rPr>
          <m:t>pej</m:t>
        </m:r>
      </m:oMath>
      <w:r w:rsidRPr="00814C47">
        <w:rPr>
          <w:rFonts w:ascii="Arial Narrow" w:hAnsi="Arial Narrow"/>
        </w:rPr>
        <w:t xml:space="preserve"> </w:t>
      </w:r>
      <w:r w:rsidR="00B24EB7" w:rsidRPr="00814C47">
        <w:rPr>
          <w:rFonts w:ascii="Arial Narrow" w:hAnsi="Arial Narrow"/>
        </w:rPr>
        <w:t>= Pérdidas técnicas de energía</w:t>
      </w:r>
    </w:p>
    <w:p w:rsidR="00B24EB7" w:rsidRPr="00814C47" w:rsidRDefault="00B17CAF" w:rsidP="00814C47">
      <w:pPr>
        <w:spacing w:line="240" w:lineRule="auto"/>
        <w:jc w:val="both"/>
        <w:rPr>
          <w:rFonts w:ascii="Arial Narrow" w:hAnsi="Arial Narrow"/>
        </w:rPr>
      </w:pPr>
      <m:oMath>
        <m:r>
          <w:rPr>
            <w:rFonts w:ascii="Cambria Math" w:hAnsi="Cambria Math"/>
          </w:rPr>
          <m:t>%Pej</m:t>
        </m:r>
      </m:oMath>
      <w:r w:rsidRPr="00814C47">
        <w:rPr>
          <w:rFonts w:ascii="Arial Narrow" w:hAnsi="Arial Narrow"/>
        </w:rPr>
        <w:t xml:space="preserve"> </w:t>
      </w:r>
      <w:r w:rsidR="00B24EB7" w:rsidRPr="00814C47">
        <w:rPr>
          <w:rFonts w:ascii="Arial Narrow" w:hAnsi="Arial Narrow"/>
        </w:rPr>
        <w:t>= Pérdidas técnicas de energía expresadas en por</w:t>
      </w:r>
      <w:r w:rsidR="00132255">
        <w:rPr>
          <w:rFonts w:ascii="Arial Narrow" w:hAnsi="Arial Narrow"/>
        </w:rPr>
        <w:t>centaje y referidas al ingreso reconocid</w:t>
      </w:r>
      <w:r w:rsidR="00DF3BE3">
        <w:rPr>
          <w:rFonts w:ascii="Arial Narrow" w:hAnsi="Arial Narrow"/>
        </w:rPr>
        <w:t>o</w:t>
      </w:r>
      <w:r w:rsidR="00132255">
        <w:rPr>
          <w:rFonts w:ascii="Arial Narrow" w:hAnsi="Arial Narrow"/>
        </w:rPr>
        <w:t xml:space="preserve"> </w:t>
      </w:r>
      <w:r w:rsidR="00DF3BE3">
        <w:rPr>
          <w:rFonts w:ascii="Arial Narrow" w:hAnsi="Arial Narrow"/>
        </w:rPr>
        <w:t>para e</w:t>
      </w:r>
      <w:r w:rsidR="00132255">
        <w:rPr>
          <w:rFonts w:ascii="Arial Narrow" w:hAnsi="Arial Narrow"/>
        </w:rPr>
        <w:t>l distribuidor.</w:t>
      </w:r>
    </w:p>
    <w:p w:rsidR="00F17DF7" w:rsidRPr="00814C47" w:rsidRDefault="00B17CAF" w:rsidP="00814C47">
      <w:pPr>
        <w:spacing w:line="240" w:lineRule="auto"/>
        <w:jc w:val="both"/>
        <w:rPr>
          <w:rFonts w:ascii="Arial Narrow" w:hAnsi="Arial Narrow"/>
        </w:rPr>
      </w:pPr>
      <m:oMath>
        <m:r>
          <w:rPr>
            <w:rFonts w:ascii="Cambria Math" w:hAnsi="Cambria Math"/>
          </w:rPr>
          <m:t>Em</m:t>
        </m:r>
      </m:oMath>
      <w:r w:rsidRPr="00814C47">
        <w:rPr>
          <w:rFonts w:ascii="Arial Narrow" w:hAnsi="Arial Narrow"/>
        </w:rPr>
        <w:t xml:space="preserve"> </w:t>
      </w:r>
      <w:r w:rsidR="00B24EB7" w:rsidRPr="00814C47">
        <w:rPr>
          <w:rFonts w:ascii="Arial Narrow" w:hAnsi="Arial Narrow"/>
        </w:rPr>
        <w:t>= Energí</w:t>
      </w:r>
      <w:r w:rsidR="00F17DF7" w:rsidRPr="00814C47">
        <w:rPr>
          <w:rFonts w:ascii="Arial Narrow" w:hAnsi="Arial Narrow"/>
        </w:rPr>
        <w:t>a medida</w:t>
      </w:r>
    </w:p>
    <w:p w:rsidR="00F17DF7" w:rsidRPr="00814C47" w:rsidRDefault="00132255" w:rsidP="00814C47">
      <w:pPr>
        <w:spacing w:line="240" w:lineRule="auto"/>
        <w:jc w:val="both"/>
        <w:rPr>
          <w:rFonts w:ascii="Arial Narrow" w:hAnsi="Arial Narrow"/>
        </w:rPr>
      </w:pPr>
      <w:r>
        <w:rPr>
          <w:rFonts w:ascii="Arial Narrow" w:hAnsi="Arial Narrow"/>
        </w:rPr>
        <w:t>Como podemos observar</w:t>
      </w:r>
      <w:r w:rsidR="00F17DF7" w:rsidRPr="00814C47">
        <w:rPr>
          <w:rFonts w:ascii="Arial Narrow" w:hAnsi="Arial Narrow"/>
        </w:rPr>
        <w:t xml:space="preserve"> la energía ingresada</w:t>
      </w:r>
      <w:r w:rsidR="00B17CAF" w:rsidRPr="00814C47">
        <w:rPr>
          <w:rFonts w:ascii="Arial Narrow" w:hAnsi="Arial Narrow"/>
        </w:rPr>
        <w:t xml:space="preserve"> </w:t>
      </w:r>
      <m:oMath>
        <m:r>
          <w:rPr>
            <w:rFonts w:ascii="Cambria Math" w:hAnsi="Cambria Math"/>
          </w:rPr>
          <m:t>ij</m:t>
        </m:r>
      </m:oMath>
      <w:r w:rsidR="00F17DF7" w:rsidRPr="00814C47">
        <w:rPr>
          <w:rFonts w:ascii="Arial Narrow" w:hAnsi="Arial Narrow"/>
        </w:rPr>
        <w:t xml:space="preserve"> es</w:t>
      </w:r>
      <w:r>
        <w:rPr>
          <w:rFonts w:ascii="Arial Narrow" w:hAnsi="Arial Narrow"/>
        </w:rPr>
        <w:t xml:space="preserve"> la suma de la energía medida</w:t>
      </w:r>
      <w:r w:rsidR="00F17DF7" w:rsidRPr="00814C47">
        <w:rPr>
          <w:rFonts w:ascii="Arial Narrow" w:hAnsi="Arial Narrow"/>
        </w:rPr>
        <w:t xml:space="preserve"> </w:t>
      </w:r>
      <m:oMath>
        <m:r>
          <w:rPr>
            <w:rFonts w:ascii="Cambria Math" w:hAnsi="Cambria Math"/>
          </w:rPr>
          <m:t>Em</m:t>
        </m:r>
      </m:oMath>
      <w:r w:rsidR="00F17DF7" w:rsidRPr="00814C47">
        <w:rPr>
          <w:rFonts w:ascii="Arial Narrow" w:hAnsi="Arial Narrow"/>
        </w:rPr>
        <w:t xml:space="preserve"> más las pérdidas técnicas de energía</w:t>
      </w:r>
      <m:oMath>
        <m:r>
          <w:rPr>
            <w:rFonts w:ascii="Cambria Math" w:hAnsi="Cambria Math"/>
          </w:rPr>
          <m:t xml:space="preserve"> pej</m:t>
        </m:r>
      </m:oMath>
      <w:r w:rsidR="004B5DF3">
        <w:rPr>
          <w:rFonts w:ascii="Arial Narrow" w:hAnsi="Arial Narrow"/>
        </w:rPr>
        <w:t xml:space="preserve"> lo que es equivalente</w:t>
      </w:r>
      <w:r w:rsidR="00B17CAF" w:rsidRPr="00814C47">
        <w:rPr>
          <w:rFonts w:ascii="Arial Narrow" w:hAnsi="Arial Narrow"/>
        </w:rPr>
        <w:t xml:space="preserve"> a la suma de la energía medida más</w:t>
      </w:r>
      <w:r w:rsidR="00F17DF7" w:rsidRPr="00814C47">
        <w:rPr>
          <w:rFonts w:ascii="Arial Narrow" w:hAnsi="Arial Narrow"/>
        </w:rPr>
        <w:t xml:space="preserve"> la energía ingresada por el porcentaje d</w:t>
      </w:r>
      <w:r>
        <w:rPr>
          <w:rFonts w:ascii="Arial Narrow" w:hAnsi="Arial Narrow"/>
        </w:rPr>
        <w:t>e pérdidas técnicas de energía.</w:t>
      </w:r>
    </w:p>
    <w:p w:rsidR="00F17DF7" w:rsidRPr="00814C47" w:rsidRDefault="00F17DF7" w:rsidP="00814C47">
      <w:pPr>
        <w:spacing w:line="240" w:lineRule="auto"/>
        <w:jc w:val="both"/>
        <w:rPr>
          <w:rFonts w:ascii="Arial Narrow" w:hAnsi="Arial Narrow"/>
        </w:rPr>
      </w:pPr>
      <m:oMathPara>
        <m:oMath>
          <m:r>
            <w:rPr>
              <w:rFonts w:ascii="Cambria Math" w:hAnsi="Cambria Math"/>
            </w:rPr>
            <m:t>ij=Em+pej=Em+ij*%Pej</m:t>
          </m:r>
        </m:oMath>
      </m:oMathPara>
    </w:p>
    <w:p w:rsidR="009D0EFF" w:rsidRPr="00814C47" w:rsidRDefault="009D0EFF" w:rsidP="00814C47">
      <w:pPr>
        <w:spacing w:line="240" w:lineRule="auto"/>
        <w:jc w:val="both"/>
        <w:rPr>
          <w:rFonts w:ascii="Arial Narrow" w:hAnsi="Arial Narrow"/>
        </w:rPr>
      </w:pPr>
      <w:r w:rsidRPr="00814C47">
        <w:rPr>
          <w:rFonts w:ascii="Arial Narrow" w:hAnsi="Arial Narrow"/>
        </w:rPr>
        <w:t>Al despejar la energía medida obt</w:t>
      </w:r>
      <w:r w:rsidR="00132255">
        <w:rPr>
          <w:rFonts w:ascii="Arial Narrow" w:hAnsi="Arial Narrow"/>
        </w:rPr>
        <w:t>enemos</w:t>
      </w:r>
      <w:r w:rsidR="00DF3BE3">
        <w:rPr>
          <w:rFonts w:ascii="Arial Narrow" w:hAnsi="Arial Narrow"/>
        </w:rPr>
        <w:t>:</w:t>
      </w:r>
    </w:p>
    <w:p w:rsidR="00091390" w:rsidRPr="00814C47" w:rsidRDefault="009D0EFF" w:rsidP="00814C47">
      <w:pPr>
        <w:spacing w:line="240" w:lineRule="auto"/>
        <w:jc w:val="both"/>
        <w:rPr>
          <w:rFonts w:ascii="Arial Narrow" w:hAnsi="Arial Narrow"/>
          <w:lang w:val="es-AR"/>
        </w:rPr>
      </w:pPr>
      <m:oMathPara>
        <m:oMath>
          <m:r>
            <w:rPr>
              <w:rFonts w:ascii="Cambria Math" w:hAnsi="Cambria Math"/>
            </w:rPr>
            <m:t>Em=ij*(1-%Pej)</m:t>
          </m:r>
        </m:oMath>
      </m:oMathPara>
    </w:p>
    <w:p w:rsidR="009D0EFF" w:rsidRPr="00814C47" w:rsidRDefault="009D0EFF" w:rsidP="00814C47">
      <w:pPr>
        <w:spacing w:line="240" w:lineRule="auto"/>
        <w:jc w:val="both"/>
        <w:rPr>
          <w:rFonts w:ascii="Arial Narrow" w:hAnsi="Arial Narrow"/>
          <w:lang w:val="es-AR"/>
        </w:rPr>
      </w:pPr>
      <w:r w:rsidRPr="00814C47">
        <w:rPr>
          <w:rFonts w:ascii="Arial Narrow" w:hAnsi="Arial Narrow"/>
          <w:lang w:val="es-AR"/>
        </w:rPr>
        <w:lastRenderedPageBreak/>
        <w:t>Sin embargo, como buscamos la</w:t>
      </w:r>
      <w:r w:rsidR="000C5C23" w:rsidRPr="00814C47">
        <w:rPr>
          <w:rFonts w:ascii="Arial Narrow" w:hAnsi="Arial Narrow"/>
          <w:lang w:val="es-AR"/>
        </w:rPr>
        <w:t xml:space="preserve"> cantidad de energía ingresada </w:t>
      </w:r>
      <w:r w:rsidRPr="00814C47">
        <w:rPr>
          <w:rFonts w:ascii="Arial Narrow" w:hAnsi="Arial Narrow"/>
          <w:lang w:val="es-AR"/>
        </w:rPr>
        <w:t>para</w:t>
      </w:r>
      <w:r w:rsidR="000C5C23" w:rsidRPr="00814C47">
        <w:rPr>
          <w:rFonts w:ascii="Arial Narrow" w:hAnsi="Arial Narrow"/>
          <w:lang w:val="es-AR"/>
        </w:rPr>
        <w:t xml:space="preserve"> así</w:t>
      </w:r>
      <w:r w:rsidRPr="00814C47">
        <w:rPr>
          <w:rFonts w:ascii="Arial Narrow" w:hAnsi="Arial Narrow"/>
          <w:lang w:val="es-AR"/>
        </w:rPr>
        <w:t xml:space="preserve"> poder encontrar la energía</w:t>
      </w:r>
      <w:r w:rsidR="005B7A63">
        <w:rPr>
          <w:rFonts w:ascii="Arial Narrow" w:hAnsi="Arial Narrow"/>
          <w:lang w:val="es-AR"/>
        </w:rPr>
        <w:t xml:space="preserve"> pe</w:t>
      </w:r>
      <w:r w:rsidR="00132255">
        <w:rPr>
          <w:rFonts w:ascii="Arial Narrow" w:hAnsi="Arial Narrow"/>
          <w:lang w:val="es-AR"/>
        </w:rPr>
        <w:t xml:space="preserve">rdida </w:t>
      </w:r>
      <w:r w:rsidR="000C5C23" w:rsidRPr="00814C47">
        <w:rPr>
          <w:rFonts w:ascii="Arial Narrow" w:hAnsi="Arial Narrow"/>
          <w:lang w:val="es-AR"/>
        </w:rPr>
        <w:t>obtenemos que la energía ingresada es la ene</w:t>
      </w:r>
      <w:r w:rsidR="00132255">
        <w:rPr>
          <w:rFonts w:ascii="Arial Narrow" w:hAnsi="Arial Narrow"/>
          <w:lang w:val="es-AR"/>
        </w:rPr>
        <w:t>rgía medida por el factor</w:t>
      </w:r>
      <w:r w:rsidR="000C5C23" w:rsidRPr="00814C47">
        <w:rPr>
          <w:rFonts w:ascii="Arial Narrow" w:hAnsi="Arial Narrow"/>
          <w:lang w:val="es-AR"/>
        </w:rPr>
        <w:t xml:space="preserve"> de pérdidas. </w:t>
      </w:r>
    </w:p>
    <w:p w:rsidR="00B24EB7" w:rsidRPr="00814C47" w:rsidRDefault="000C5C23" w:rsidP="00814C47">
      <w:pPr>
        <w:spacing w:line="240" w:lineRule="auto"/>
        <w:jc w:val="both"/>
        <w:rPr>
          <w:rFonts w:ascii="Arial Narrow" w:eastAsiaTheme="minorEastAsia" w:hAnsi="Arial Narrow"/>
        </w:rPr>
      </w:pPr>
      <m:oMathPara>
        <m:oMath>
          <m:r>
            <w:rPr>
              <w:rFonts w:ascii="Cambria Math" w:hAnsi="Cambria Math"/>
            </w:rPr>
            <m:t>ij=</m:t>
          </m:r>
          <m:f>
            <m:fPr>
              <m:ctrlPr>
                <w:rPr>
                  <w:rFonts w:ascii="Cambria Math" w:hAnsi="Cambria Math"/>
                  <w:i/>
                </w:rPr>
              </m:ctrlPr>
            </m:fPr>
            <m:num>
              <m:r>
                <w:rPr>
                  <w:rFonts w:ascii="Cambria Math" w:hAnsi="Cambria Math"/>
                </w:rPr>
                <m:t>Em</m:t>
              </m:r>
            </m:num>
            <m:den>
              <m:r>
                <w:rPr>
                  <w:rFonts w:ascii="Cambria Math" w:hAnsi="Cambria Math"/>
                </w:rPr>
                <m:t>1-%Pej</m:t>
              </m:r>
            </m:den>
          </m:f>
          <m:r>
            <w:rPr>
              <w:rFonts w:ascii="Cambria Math" w:hAnsi="Cambria Math"/>
            </w:rPr>
            <m:t>=Em*FPj</m:t>
          </m:r>
        </m:oMath>
      </m:oMathPara>
    </w:p>
    <w:p w:rsidR="000C5C23" w:rsidRPr="00814C47" w:rsidRDefault="0097173C" w:rsidP="00814C47">
      <w:pPr>
        <w:spacing w:line="240" w:lineRule="auto"/>
        <w:jc w:val="both"/>
        <w:rPr>
          <w:rFonts w:ascii="Arial Narrow" w:eastAsiaTheme="minorEastAsia" w:hAnsi="Arial Narrow"/>
          <w:lang w:val="es-AR"/>
        </w:rPr>
      </w:pPr>
      <w:r w:rsidRPr="00814C47">
        <w:rPr>
          <w:rFonts w:ascii="Arial Narrow" w:eastAsiaTheme="minorEastAsia" w:hAnsi="Arial Narrow"/>
          <w:lang w:val="es-AR"/>
        </w:rPr>
        <w:t>Adicional</w:t>
      </w:r>
      <w:r w:rsidR="00132255">
        <w:rPr>
          <w:rFonts w:ascii="Arial Narrow" w:eastAsiaTheme="minorEastAsia" w:hAnsi="Arial Narrow"/>
          <w:lang w:val="es-AR"/>
        </w:rPr>
        <w:t xml:space="preserve">mente, se debe calcular un factor de </w:t>
      </w:r>
      <w:r w:rsidRPr="00814C47">
        <w:rPr>
          <w:rFonts w:ascii="Arial Narrow" w:eastAsiaTheme="minorEastAsia" w:hAnsi="Arial Narrow"/>
          <w:lang w:val="es-AR"/>
        </w:rPr>
        <w:t>pérdidas no técnicas que se refiere a la pérdida de energía en ventas en baja tensión con la siguiente fórmula</w:t>
      </w:r>
    </w:p>
    <w:p w:rsidR="0097173C" w:rsidRPr="00814C47" w:rsidRDefault="0097173C" w:rsidP="00814C47">
      <w:pPr>
        <w:spacing w:line="240" w:lineRule="auto"/>
        <w:jc w:val="both"/>
        <w:rPr>
          <w:rFonts w:ascii="Arial Narrow" w:hAnsi="Arial Narrow"/>
          <w:u w:val="single"/>
          <w:lang w:val="es-AR"/>
        </w:rPr>
      </w:pPr>
      <m:oMathPara>
        <m:oMath>
          <m:r>
            <w:rPr>
              <w:rFonts w:ascii="Cambria Math" w:hAnsi="Cambria Math"/>
            </w:rPr>
            <m:t>FPnt=(1+Pent)</m:t>
          </m:r>
        </m:oMath>
      </m:oMathPara>
    </w:p>
    <w:p w:rsidR="00B24EB7" w:rsidRPr="00814C47" w:rsidRDefault="0097173C" w:rsidP="00814C47">
      <w:pPr>
        <w:spacing w:line="240" w:lineRule="auto"/>
        <w:jc w:val="both"/>
        <w:rPr>
          <w:rFonts w:ascii="Arial Narrow" w:hAnsi="Arial Narrow"/>
          <w:lang w:val="es-AR"/>
        </w:rPr>
      </w:pPr>
      <w:r w:rsidRPr="00814C47">
        <w:rPr>
          <w:rFonts w:ascii="Arial Narrow" w:eastAsiaTheme="minorEastAsia" w:hAnsi="Arial Narrow"/>
        </w:rPr>
        <w:t xml:space="preserve">Donde, </w:t>
      </w:r>
      <m:oMath>
        <m:r>
          <w:rPr>
            <w:rFonts w:ascii="Cambria Math" w:hAnsi="Cambria Math"/>
          </w:rPr>
          <m:t>Pent</m:t>
        </m:r>
      </m:oMath>
      <w:r w:rsidRPr="00814C47">
        <w:rPr>
          <w:rFonts w:ascii="Arial Narrow" w:hAnsi="Arial Narrow"/>
          <w:lang w:val="es-AR"/>
        </w:rPr>
        <w:t xml:space="preserve"> </w:t>
      </w:r>
      <w:r w:rsidR="00B24EB7" w:rsidRPr="00814C47">
        <w:rPr>
          <w:rFonts w:ascii="Arial Narrow" w:hAnsi="Arial Narrow"/>
          <w:lang w:val="es-AR"/>
        </w:rPr>
        <w:t>es el porcentaje de pérdidas no técnicas referidas a las vent</w:t>
      </w:r>
      <w:r w:rsidR="00132255">
        <w:rPr>
          <w:rFonts w:ascii="Arial Narrow" w:hAnsi="Arial Narrow"/>
          <w:lang w:val="es-AR"/>
        </w:rPr>
        <w:t>as de energía en baja tensión reconocidas al distribuidor.</w:t>
      </w:r>
    </w:p>
    <w:p w:rsidR="004B5DF3" w:rsidRDefault="00D84484" w:rsidP="00814C47">
      <w:pPr>
        <w:spacing w:line="240" w:lineRule="auto"/>
        <w:jc w:val="both"/>
        <w:rPr>
          <w:rFonts w:ascii="Arial Narrow" w:hAnsi="Arial Narrow"/>
          <w:lang w:val="es-AR"/>
        </w:rPr>
      </w:pPr>
      <w:r>
        <w:rPr>
          <w:rFonts w:ascii="Arial Narrow" w:hAnsi="Arial Narrow"/>
          <w:lang w:val="es-AR"/>
        </w:rPr>
        <w:t>A partir de estos</w:t>
      </w:r>
      <w:r w:rsidR="005A60DB" w:rsidRPr="00814C47">
        <w:rPr>
          <w:rFonts w:ascii="Arial Narrow" w:hAnsi="Arial Narrow"/>
          <w:lang w:val="es-AR"/>
        </w:rPr>
        <w:t xml:space="preserve"> factores se calculan</w:t>
      </w:r>
      <w:r w:rsidR="00B24EB7" w:rsidRPr="00814C47">
        <w:rPr>
          <w:rFonts w:ascii="Arial Narrow" w:hAnsi="Arial Narrow"/>
          <w:lang w:val="es-AR"/>
        </w:rPr>
        <w:t xml:space="preserve"> los factores de pérdidas</w:t>
      </w:r>
      <w:r w:rsidR="005A60DB" w:rsidRPr="00814C47">
        <w:rPr>
          <w:rFonts w:ascii="Arial Narrow" w:hAnsi="Arial Narrow"/>
          <w:lang w:val="es-AR"/>
        </w:rPr>
        <w:t xml:space="preserve"> acumulados para baja y media tensión</w:t>
      </w:r>
      <w:r w:rsidR="00B24EB7" w:rsidRPr="00814C47">
        <w:rPr>
          <w:rFonts w:ascii="Arial Narrow" w:hAnsi="Arial Narrow"/>
          <w:lang w:val="es-AR"/>
        </w:rPr>
        <w:t>. Estos permiten calcular la</w:t>
      </w:r>
      <w:r w:rsidR="005A60DB" w:rsidRPr="00814C47">
        <w:rPr>
          <w:rFonts w:ascii="Arial Narrow" w:hAnsi="Arial Narrow"/>
          <w:lang w:val="es-AR"/>
        </w:rPr>
        <w:t xml:space="preserve"> energía ingresada en cada nivel tensión y con ello las </w:t>
      </w:r>
      <w:r w:rsidR="002F6E06" w:rsidRPr="00814C47">
        <w:rPr>
          <w:rFonts w:ascii="Arial Narrow" w:hAnsi="Arial Narrow"/>
          <w:lang w:val="es-AR"/>
        </w:rPr>
        <w:t>pérdidas</w:t>
      </w:r>
      <w:r w:rsidR="005A60DB" w:rsidRPr="00814C47">
        <w:rPr>
          <w:rFonts w:ascii="Arial Narrow" w:hAnsi="Arial Narrow"/>
          <w:lang w:val="es-AR"/>
        </w:rPr>
        <w:t xml:space="preserve"> de energía reconocidas al di</w:t>
      </w:r>
      <w:r w:rsidR="003E3782">
        <w:rPr>
          <w:rFonts w:ascii="Arial Narrow" w:hAnsi="Arial Narrow"/>
          <w:lang w:val="es-AR"/>
        </w:rPr>
        <w:t>stribuidor</w:t>
      </w:r>
      <w:r w:rsidR="004B5DF3">
        <w:rPr>
          <w:rFonts w:ascii="Arial Narrow" w:hAnsi="Arial Narrow"/>
          <w:lang w:val="es-AR"/>
        </w:rPr>
        <w:t>.</w:t>
      </w:r>
    </w:p>
    <w:p w:rsidR="00BF522D" w:rsidRPr="00814C47" w:rsidRDefault="002F6E06" w:rsidP="00814C47">
      <w:pPr>
        <w:spacing w:line="240" w:lineRule="auto"/>
        <w:jc w:val="both"/>
        <w:rPr>
          <w:rFonts w:ascii="Arial Narrow" w:hAnsi="Arial Narrow"/>
          <w:lang w:val="es-AR"/>
        </w:rPr>
      </w:pPr>
      <w:r w:rsidRPr="00814C47">
        <w:rPr>
          <w:rFonts w:ascii="Arial Narrow" w:hAnsi="Arial Narrow"/>
          <w:lang w:val="es-AR"/>
        </w:rPr>
        <w:t>Si tomamos en cuenta que e</w:t>
      </w:r>
      <w:r w:rsidR="004B5DF3">
        <w:rPr>
          <w:rFonts w:ascii="Arial Narrow" w:hAnsi="Arial Narrow"/>
          <w:lang w:val="es-AR"/>
        </w:rPr>
        <w:t>l factor de pérdidas acumulado</w:t>
      </w:r>
      <w:r w:rsidRPr="00814C47">
        <w:rPr>
          <w:rFonts w:ascii="Arial Narrow" w:hAnsi="Arial Narrow"/>
          <w:lang w:val="es-AR"/>
        </w:rPr>
        <w:t xml:space="preserve"> busca estimar la energía ingresada en ese nivel de tensión, entonces e</w:t>
      </w:r>
      <w:r w:rsidR="003E3782">
        <w:rPr>
          <w:rFonts w:ascii="Arial Narrow" w:hAnsi="Arial Narrow"/>
          <w:lang w:val="es-AR"/>
        </w:rPr>
        <w:t>l factor de pérdidas acumulado</w:t>
      </w:r>
      <w:r w:rsidRPr="00814C47">
        <w:rPr>
          <w:rFonts w:ascii="Arial Narrow" w:hAnsi="Arial Narrow"/>
          <w:lang w:val="es-AR"/>
        </w:rPr>
        <w:t xml:space="preserve"> en baja tensión debe reconocer las pérdidas de energía en media</w:t>
      </w:r>
      <w:r w:rsidR="00BF522D" w:rsidRPr="00814C47">
        <w:rPr>
          <w:rFonts w:ascii="Arial Narrow" w:hAnsi="Arial Narrow"/>
          <w:lang w:val="es-AR"/>
        </w:rPr>
        <w:t xml:space="preserve"> tensión y debe aplicarse para determinar la </w:t>
      </w:r>
      <w:r w:rsidR="003E3782">
        <w:rPr>
          <w:rFonts w:ascii="Arial Narrow" w:hAnsi="Arial Narrow"/>
          <w:lang w:val="es-AR"/>
        </w:rPr>
        <w:t xml:space="preserve">energía </w:t>
      </w:r>
      <w:r w:rsidR="00BF522D" w:rsidRPr="00814C47">
        <w:rPr>
          <w:rFonts w:ascii="Arial Narrow" w:hAnsi="Arial Narrow"/>
          <w:lang w:val="es-AR"/>
        </w:rPr>
        <w:t>requerida en la etapa de ingreso al sistema</w:t>
      </w:r>
      <w:r w:rsidRPr="00814C47">
        <w:rPr>
          <w:rFonts w:ascii="Arial Narrow" w:hAnsi="Arial Narrow"/>
          <w:lang w:val="es-AR"/>
        </w:rPr>
        <w:t xml:space="preserve">, las pérdidas de energía que se originan en baja tensión y las pérdidas no técnicas que solo se dan en baja tensión. Así el factor de pérdidas </w:t>
      </w:r>
      <w:r w:rsidR="003E3782">
        <w:rPr>
          <w:rFonts w:ascii="Arial Narrow" w:hAnsi="Arial Narrow"/>
          <w:lang w:val="es-AR"/>
        </w:rPr>
        <w:t>de baja tensión incorpora tres elementos</w:t>
      </w:r>
      <w:r w:rsidRPr="00814C47">
        <w:rPr>
          <w:rFonts w:ascii="Arial Narrow" w:hAnsi="Arial Narrow"/>
          <w:lang w:val="es-AR"/>
        </w:rPr>
        <w:t xml:space="preserve"> de pérdidas individu</w:t>
      </w:r>
      <w:r w:rsidR="004B5DF3">
        <w:rPr>
          <w:rFonts w:ascii="Arial Narrow" w:hAnsi="Arial Narrow"/>
          <w:lang w:val="es-AR"/>
        </w:rPr>
        <w:t xml:space="preserve">ales y queda </w:t>
      </w:r>
      <w:r w:rsidRPr="00814C47">
        <w:rPr>
          <w:rFonts w:ascii="Arial Narrow" w:hAnsi="Arial Narrow"/>
          <w:lang w:val="es-AR"/>
        </w:rPr>
        <w:t>descr</w:t>
      </w:r>
      <w:r w:rsidR="004B5DF3">
        <w:rPr>
          <w:rFonts w:ascii="Arial Narrow" w:hAnsi="Arial Narrow"/>
          <w:lang w:val="es-AR"/>
        </w:rPr>
        <w:t>ito por la siguiente ecuación:</w:t>
      </w:r>
    </w:p>
    <w:p w:rsidR="002F6E06" w:rsidRPr="00814C47" w:rsidRDefault="002F6E06" w:rsidP="00814C47">
      <w:pPr>
        <w:spacing w:line="240" w:lineRule="auto"/>
        <w:jc w:val="both"/>
        <w:rPr>
          <w:rFonts w:ascii="Arial Narrow" w:hAnsi="Arial Narrow"/>
          <w:lang w:val="es-AR"/>
        </w:rPr>
      </w:pPr>
      <m:oMathPara>
        <m:oMath>
          <m:r>
            <w:rPr>
              <w:rFonts w:ascii="Cambria Math" w:hAnsi="Cambria Math"/>
            </w:rPr>
            <m:t>FPAbt=FPbt*FPmt*FPnt</m:t>
          </m:r>
        </m:oMath>
      </m:oMathPara>
    </w:p>
    <w:p w:rsidR="00A34C2E" w:rsidRPr="00814C47" w:rsidRDefault="00A34C2E" w:rsidP="00A34C2E">
      <w:pPr>
        <w:spacing w:line="240" w:lineRule="auto"/>
        <w:jc w:val="both"/>
        <w:rPr>
          <w:rFonts w:ascii="Arial Narrow" w:hAnsi="Arial Narrow"/>
          <w:lang w:val="es-AR"/>
        </w:rPr>
      </w:pPr>
      <w:r w:rsidRPr="00814C47">
        <w:rPr>
          <w:rFonts w:ascii="Arial Narrow" w:hAnsi="Arial Narrow"/>
          <w:lang w:val="es-AR"/>
        </w:rPr>
        <w:t>Donde:</w:t>
      </w:r>
    </w:p>
    <w:p w:rsidR="00A34C2E" w:rsidRPr="00814C47" w:rsidRDefault="00A34C2E" w:rsidP="00A34C2E">
      <w:pPr>
        <w:spacing w:line="240" w:lineRule="auto"/>
        <w:jc w:val="both"/>
        <w:rPr>
          <w:rFonts w:ascii="Arial Narrow" w:hAnsi="Arial Narrow"/>
          <w:lang w:val="es-AR"/>
        </w:rPr>
      </w:pPr>
      <m:oMath>
        <m:r>
          <w:rPr>
            <w:rFonts w:ascii="Cambria Math" w:hAnsi="Cambria Math"/>
          </w:rPr>
          <m:t>FPbt</m:t>
        </m:r>
      </m:oMath>
      <w:r w:rsidRPr="00814C47">
        <w:rPr>
          <w:rFonts w:ascii="Arial Narrow" w:hAnsi="Arial Narrow"/>
          <w:lang w:val="es-AR"/>
        </w:rPr>
        <w:t xml:space="preserve"> </w:t>
      </w:r>
      <w:r>
        <w:rPr>
          <w:rFonts w:ascii="Arial Narrow" w:hAnsi="Arial Narrow"/>
          <w:lang w:val="es-AR"/>
        </w:rPr>
        <w:t>= Factor de pérdidas en baja tensión</w:t>
      </w:r>
      <w:r w:rsidRPr="00814C47">
        <w:rPr>
          <w:rFonts w:ascii="Arial Narrow" w:eastAsiaTheme="minorEastAsia" w:hAnsi="Arial Narrow"/>
        </w:rPr>
        <w:t>.</w:t>
      </w:r>
    </w:p>
    <w:p w:rsidR="00A34C2E" w:rsidRPr="00814C47" w:rsidRDefault="00A34C2E" w:rsidP="00A34C2E">
      <w:pPr>
        <w:spacing w:line="240" w:lineRule="auto"/>
        <w:jc w:val="both"/>
        <w:rPr>
          <w:rFonts w:ascii="Arial Narrow" w:hAnsi="Arial Narrow"/>
          <w:lang w:val="es-AR"/>
        </w:rPr>
      </w:pPr>
      <m:oMath>
        <m:r>
          <w:rPr>
            <w:rFonts w:ascii="Cambria Math" w:hAnsi="Cambria Math"/>
          </w:rPr>
          <m:t>FPmt</m:t>
        </m:r>
      </m:oMath>
      <w:r w:rsidRPr="00814C47">
        <w:rPr>
          <w:rFonts w:ascii="Arial Narrow" w:hAnsi="Arial Narrow"/>
          <w:lang w:val="es-AR"/>
        </w:rPr>
        <w:t xml:space="preserve"> </w:t>
      </w:r>
      <w:r w:rsidR="00082F7D">
        <w:rPr>
          <w:rFonts w:ascii="Arial Narrow" w:hAnsi="Arial Narrow"/>
          <w:lang w:val="es-AR"/>
        </w:rPr>
        <w:t>= Factor de pérdidas</w:t>
      </w:r>
      <w:r>
        <w:rPr>
          <w:rFonts w:ascii="Arial Narrow" w:hAnsi="Arial Narrow"/>
          <w:lang w:val="es-AR"/>
        </w:rPr>
        <w:t xml:space="preserve"> en media tensión</w:t>
      </w:r>
      <w:r w:rsidRPr="00814C47">
        <w:rPr>
          <w:rFonts w:ascii="Arial Narrow" w:hAnsi="Arial Narrow"/>
          <w:lang w:val="es-AR"/>
        </w:rPr>
        <w:t>.</w:t>
      </w:r>
    </w:p>
    <w:p w:rsidR="00A34C2E" w:rsidRDefault="00A34C2E" w:rsidP="00814C47">
      <w:pPr>
        <w:spacing w:line="240" w:lineRule="auto"/>
        <w:jc w:val="both"/>
        <w:rPr>
          <w:rFonts w:ascii="Arial Narrow" w:hAnsi="Arial Narrow"/>
          <w:lang w:val="es-AR"/>
        </w:rPr>
      </w:pPr>
      <m:oMath>
        <m:r>
          <w:rPr>
            <w:rFonts w:ascii="Cambria Math" w:hAnsi="Cambria Math"/>
          </w:rPr>
          <m:t>FPnt</m:t>
        </m:r>
      </m:oMath>
      <w:r w:rsidRPr="00814C47">
        <w:rPr>
          <w:rFonts w:ascii="Arial Narrow" w:hAnsi="Arial Narrow"/>
          <w:lang w:val="es-AR"/>
        </w:rPr>
        <w:t xml:space="preserve"> </w:t>
      </w:r>
      <w:r>
        <w:rPr>
          <w:rFonts w:ascii="Arial Narrow" w:hAnsi="Arial Narrow"/>
          <w:lang w:val="es-AR"/>
        </w:rPr>
        <w:t>= Factor de pérdidas no técnicas.</w:t>
      </w:r>
    </w:p>
    <w:p w:rsidR="00A34C2E" w:rsidRDefault="00A34C2E" w:rsidP="00814C47">
      <w:pPr>
        <w:spacing w:line="240" w:lineRule="auto"/>
        <w:jc w:val="both"/>
        <w:rPr>
          <w:rFonts w:ascii="Arial Narrow" w:hAnsi="Arial Narrow"/>
          <w:lang w:val="es-AR"/>
        </w:rPr>
      </w:pPr>
    </w:p>
    <w:p w:rsidR="00876E7E" w:rsidRPr="00814C47" w:rsidRDefault="00BF522D" w:rsidP="00814C47">
      <w:pPr>
        <w:spacing w:line="240" w:lineRule="auto"/>
        <w:jc w:val="both"/>
        <w:rPr>
          <w:rFonts w:ascii="Arial Narrow" w:eastAsiaTheme="minorEastAsia" w:hAnsi="Arial Narrow"/>
        </w:rPr>
      </w:pPr>
      <w:r w:rsidRPr="00814C47">
        <w:rPr>
          <w:rFonts w:ascii="Arial Narrow" w:hAnsi="Arial Narrow"/>
          <w:lang w:val="es-AR"/>
        </w:rPr>
        <w:t>As</w:t>
      </w:r>
      <w:r w:rsidR="00DF3BE3">
        <w:rPr>
          <w:rFonts w:ascii="Arial Narrow" w:hAnsi="Arial Narrow"/>
          <w:lang w:val="es-AR"/>
        </w:rPr>
        <w:t>i</w:t>
      </w:r>
      <w:r w:rsidRPr="00814C47">
        <w:rPr>
          <w:rFonts w:ascii="Arial Narrow" w:hAnsi="Arial Narrow"/>
          <w:lang w:val="es-AR"/>
        </w:rPr>
        <w:t xml:space="preserve">mismo, </w:t>
      </w:r>
      <w:r w:rsidR="00876E7E" w:rsidRPr="00814C47">
        <w:rPr>
          <w:rFonts w:ascii="Arial Narrow" w:hAnsi="Arial Narrow"/>
          <w:lang w:val="es-AR"/>
        </w:rPr>
        <w:t xml:space="preserve">para calcular </w:t>
      </w:r>
      <w:r w:rsidRPr="00814C47">
        <w:rPr>
          <w:rFonts w:ascii="Arial Narrow" w:hAnsi="Arial Narrow"/>
          <w:lang w:val="es-AR"/>
        </w:rPr>
        <w:t>el</w:t>
      </w:r>
      <w:r w:rsidR="00876E7E" w:rsidRPr="00814C47">
        <w:rPr>
          <w:rFonts w:ascii="Arial Narrow" w:hAnsi="Arial Narrow"/>
          <w:lang w:val="es-AR"/>
        </w:rPr>
        <w:t xml:space="preserve"> factor de pérdidas en media tensión </w:t>
      </w:r>
      <m:oMath>
        <m:r>
          <w:rPr>
            <w:rFonts w:ascii="Cambria Math" w:hAnsi="Cambria Math"/>
          </w:rPr>
          <m:t>FPAmt</m:t>
        </m:r>
      </m:oMath>
      <w:r w:rsidR="004B5DF3">
        <w:rPr>
          <w:rFonts w:ascii="Arial Narrow" w:eastAsiaTheme="minorEastAsia" w:hAnsi="Arial Narrow"/>
        </w:rPr>
        <w:t xml:space="preserve"> </w:t>
      </w:r>
      <w:r w:rsidR="003E3782">
        <w:rPr>
          <w:rFonts w:ascii="Arial Narrow" w:eastAsiaTheme="minorEastAsia" w:hAnsi="Arial Narrow"/>
        </w:rPr>
        <w:t>se utiliza la siguiente expresión</w:t>
      </w:r>
      <w:r w:rsidR="004B5DF3">
        <w:rPr>
          <w:rFonts w:ascii="Arial Narrow" w:eastAsiaTheme="minorEastAsia" w:hAnsi="Arial Narrow"/>
        </w:rPr>
        <w:t>:</w:t>
      </w:r>
    </w:p>
    <w:p w:rsidR="00876E7E" w:rsidRPr="004B5DF3" w:rsidRDefault="00876E7E" w:rsidP="00814C47">
      <w:pPr>
        <w:spacing w:line="240" w:lineRule="auto"/>
        <w:jc w:val="both"/>
        <w:rPr>
          <w:rFonts w:ascii="Arial Narrow" w:eastAsiaTheme="minorEastAsia" w:hAnsi="Arial Narrow"/>
        </w:rPr>
      </w:pPr>
      <m:oMathPara>
        <m:oMath>
          <m:r>
            <w:rPr>
              <w:rFonts w:ascii="Cambria Math" w:hAnsi="Cambria Math"/>
            </w:rPr>
            <m:t>FPAmt=FPmt</m:t>
          </m:r>
        </m:oMath>
      </m:oMathPara>
    </w:p>
    <w:p w:rsidR="005F0CE9" w:rsidRPr="00F94EF8" w:rsidRDefault="005F0CE9" w:rsidP="00F94EF8">
      <w:pPr>
        <w:pStyle w:val="Prrafodelista"/>
        <w:keepNext/>
        <w:keepLines/>
        <w:numPr>
          <w:ilvl w:val="2"/>
          <w:numId w:val="15"/>
        </w:numPr>
        <w:spacing w:after="0" w:line="240" w:lineRule="auto"/>
        <w:ind w:left="450" w:hanging="450"/>
        <w:jc w:val="both"/>
        <w:outlineLvl w:val="0"/>
        <w:rPr>
          <w:rFonts w:ascii="Arial Narrow" w:eastAsiaTheme="majorEastAsia" w:hAnsi="Arial Narrow" w:cstheme="majorBidi"/>
          <w:b/>
          <w:bCs/>
          <w:color w:val="000000" w:themeColor="text1"/>
        </w:rPr>
      </w:pPr>
      <w:r w:rsidRPr="00F94EF8">
        <w:rPr>
          <w:rFonts w:ascii="Arial Narrow" w:eastAsiaTheme="majorEastAsia" w:hAnsi="Arial Narrow" w:cstheme="majorBidi"/>
          <w:b/>
          <w:bCs/>
          <w:color w:val="000000" w:themeColor="text1"/>
        </w:rPr>
        <w:t>Factores de pérdidas aprobados</w:t>
      </w:r>
      <w:r w:rsidR="003E3782" w:rsidRPr="00F94EF8">
        <w:rPr>
          <w:rFonts w:ascii="Arial Narrow" w:eastAsiaTheme="majorEastAsia" w:hAnsi="Arial Narrow" w:cstheme="majorBidi"/>
          <w:b/>
          <w:bCs/>
          <w:color w:val="000000" w:themeColor="text1"/>
        </w:rPr>
        <w:t xml:space="preserve"> en el A</w:t>
      </w:r>
      <w:r w:rsidR="00876E7E" w:rsidRPr="00F94EF8">
        <w:rPr>
          <w:rFonts w:ascii="Arial Narrow" w:eastAsiaTheme="majorEastAsia" w:hAnsi="Arial Narrow" w:cstheme="majorBidi"/>
          <w:b/>
          <w:bCs/>
          <w:color w:val="000000" w:themeColor="text1"/>
        </w:rPr>
        <w:t>cuerdo A/074/2015</w:t>
      </w:r>
    </w:p>
    <w:p w:rsidR="00876E7E" w:rsidRDefault="00876E7E" w:rsidP="00814C47">
      <w:pPr>
        <w:spacing w:after="200" w:line="240" w:lineRule="auto"/>
        <w:jc w:val="both"/>
        <w:rPr>
          <w:rFonts w:ascii="Arial Narrow" w:hAnsi="Arial Narrow" w:cs="Arial"/>
        </w:rPr>
      </w:pPr>
      <w:r w:rsidRPr="00814C47">
        <w:rPr>
          <w:rFonts w:ascii="Arial Narrow" w:hAnsi="Arial Narrow" w:cs="Arial"/>
        </w:rPr>
        <w:t xml:space="preserve">A continuación </w:t>
      </w:r>
      <w:r w:rsidR="009F11A7" w:rsidRPr="00814C47">
        <w:rPr>
          <w:rFonts w:ascii="Arial Narrow" w:hAnsi="Arial Narrow" w:cs="Arial"/>
        </w:rPr>
        <w:t>se muestran los factores de pérd</w:t>
      </w:r>
      <w:r w:rsidRPr="00814C47">
        <w:rPr>
          <w:rFonts w:ascii="Arial Narrow" w:hAnsi="Arial Narrow" w:cs="Arial"/>
        </w:rPr>
        <w:t xml:space="preserve">idas acumulados para cada Unidad de Negocio y nivel de tensión. </w:t>
      </w:r>
    </w:p>
    <w:p w:rsidR="00DF3BE3" w:rsidRDefault="00DF3BE3" w:rsidP="00814C47">
      <w:pPr>
        <w:spacing w:after="200" w:line="240" w:lineRule="auto"/>
        <w:jc w:val="both"/>
        <w:rPr>
          <w:rFonts w:ascii="Arial Narrow" w:hAnsi="Arial Narrow" w:cs="Arial"/>
        </w:rPr>
      </w:pPr>
    </w:p>
    <w:p w:rsidR="00DF3BE3" w:rsidRDefault="00DF3BE3" w:rsidP="00814C47">
      <w:pPr>
        <w:spacing w:after="200" w:line="240" w:lineRule="auto"/>
        <w:jc w:val="both"/>
        <w:rPr>
          <w:rFonts w:ascii="Arial Narrow" w:hAnsi="Arial Narrow" w:cs="Arial"/>
        </w:rPr>
      </w:pPr>
    </w:p>
    <w:p w:rsidR="00DF3BE3" w:rsidRDefault="00DF3BE3" w:rsidP="00814C47">
      <w:pPr>
        <w:spacing w:after="200" w:line="240" w:lineRule="auto"/>
        <w:jc w:val="both"/>
        <w:rPr>
          <w:rFonts w:ascii="Arial Narrow" w:hAnsi="Arial Narrow" w:cs="Arial"/>
        </w:rPr>
      </w:pPr>
    </w:p>
    <w:p w:rsidR="00DF3BE3" w:rsidRDefault="00DF3BE3" w:rsidP="00814C47">
      <w:pPr>
        <w:spacing w:after="200" w:line="240" w:lineRule="auto"/>
        <w:jc w:val="both"/>
        <w:rPr>
          <w:rFonts w:ascii="Arial Narrow" w:hAnsi="Arial Narrow" w:cs="Arial"/>
        </w:rPr>
      </w:pPr>
    </w:p>
    <w:p w:rsidR="00DF3BE3" w:rsidRDefault="00DF3BE3" w:rsidP="00814C47">
      <w:pPr>
        <w:spacing w:after="200" w:line="240" w:lineRule="auto"/>
        <w:jc w:val="both"/>
        <w:rPr>
          <w:rFonts w:ascii="Arial Narrow" w:hAnsi="Arial Narrow" w:cs="Arial"/>
        </w:rPr>
      </w:pPr>
    </w:p>
    <w:p w:rsidR="00DF3BE3" w:rsidRDefault="00DF3BE3" w:rsidP="00814C47">
      <w:pPr>
        <w:spacing w:after="200" w:line="240" w:lineRule="auto"/>
        <w:jc w:val="both"/>
        <w:rPr>
          <w:rFonts w:ascii="Arial Narrow" w:hAnsi="Arial Narrow" w:cs="Arial"/>
        </w:rPr>
      </w:pPr>
    </w:p>
    <w:p w:rsidR="00DF3BE3" w:rsidRPr="00814C47" w:rsidRDefault="00DF3BE3" w:rsidP="00814C47">
      <w:pPr>
        <w:spacing w:after="200" w:line="240" w:lineRule="auto"/>
        <w:jc w:val="both"/>
        <w:rPr>
          <w:rFonts w:ascii="Arial Narrow" w:hAnsi="Arial Narrow" w:cs="Arial"/>
        </w:rPr>
      </w:pPr>
    </w:p>
    <w:p w:rsidR="005F0CE9" w:rsidRPr="008F66CD" w:rsidRDefault="00876E7E" w:rsidP="008F66CD">
      <w:pPr>
        <w:pStyle w:val="Descripcin"/>
        <w:jc w:val="center"/>
        <w:rPr>
          <w:sz w:val="20"/>
          <w:szCs w:val="20"/>
        </w:rPr>
      </w:pPr>
      <w:r w:rsidRPr="008F66CD">
        <w:rPr>
          <w:sz w:val="20"/>
          <w:szCs w:val="20"/>
        </w:rPr>
        <w:lastRenderedPageBreak/>
        <w:t xml:space="preserve">Tabla </w:t>
      </w:r>
      <w:r w:rsidRPr="008F66CD">
        <w:rPr>
          <w:sz w:val="20"/>
          <w:szCs w:val="20"/>
        </w:rPr>
        <w:fldChar w:fldCharType="begin"/>
      </w:r>
      <w:r w:rsidRPr="008F66CD">
        <w:rPr>
          <w:sz w:val="20"/>
          <w:szCs w:val="20"/>
        </w:rPr>
        <w:instrText xml:space="preserve"> SEQ Tabla \* ARABIC </w:instrText>
      </w:r>
      <w:r w:rsidRPr="008F66CD">
        <w:rPr>
          <w:sz w:val="20"/>
          <w:szCs w:val="20"/>
        </w:rPr>
        <w:fldChar w:fldCharType="separate"/>
      </w:r>
      <w:r w:rsidR="00720DC5">
        <w:rPr>
          <w:noProof/>
          <w:sz w:val="20"/>
          <w:szCs w:val="20"/>
        </w:rPr>
        <w:t>9</w:t>
      </w:r>
      <w:r w:rsidRPr="008F66CD">
        <w:rPr>
          <w:sz w:val="20"/>
          <w:szCs w:val="20"/>
        </w:rPr>
        <w:fldChar w:fldCharType="end"/>
      </w:r>
      <w:r w:rsidRPr="008F66CD">
        <w:rPr>
          <w:sz w:val="20"/>
          <w:szCs w:val="20"/>
        </w:rPr>
        <w:t xml:space="preserve">. </w:t>
      </w:r>
      <w:r w:rsidR="00B17CAF" w:rsidRPr="008F66CD">
        <w:rPr>
          <w:sz w:val="20"/>
          <w:szCs w:val="20"/>
        </w:rPr>
        <w:t>Factores de pérdidas aprobados</w:t>
      </w:r>
      <w:r w:rsidR="00DC279A" w:rsidRPr="008F66CD">
        <w:rPr>
          <w:sz w:val="20"/>
          <w:szCs w:val="20"/>
        </w:rPr>
        <w:t xml:space="preserve"> para 2016</w:t>
      </w:r>
      <w:r w:rsidR="00B17CAF" w:rsidRPr="008F66CD">
        <w:rPr>
          <w:sz w:val="20"/>
          <w:szCs w:val="20"/>
        </w:rPr>
        <w:t xml:space="preserve"> en el </w:t>
      </w:r>
      <w:r w:rsidR="00082F7D">
        <w:rPr>
          <w:sz w:val="20"/>
          <w:szCs w:val="20"/>
        </w:rPr>
        <w:t>Acuerdo A/074</w:t>
      </w:r>
      <w:r w:rsidR="00DC279A" w:rsidRPr="008F66CD">
        <w:rPr>
          <w:sz w:val="20"/>
          <w:szCs w:val="20"/>
        </w:rPr>
        <w:t>/2015</w:t>
      </w:r>
    </w:p>
    <w:tbl>
      <w:tblPr>
        <w:tblpPr w:leftFromText="141" w:rightFromText="141" w:vertAnchor="text" w:horzAnchor="margin" w:tblpXSpec="center" w:tblpY="-67"/>
        <w:tblW w:w="4673" w:type="dxa"/>
        <w:tblCellMar>
          <w:left w:w="0" w:type="dxa"/>
          <w:right w:w="0" w:type="dxa"/>
        </w:tblCellMar>
        <w:tblLook w:val="0600" w:firstRow="0" w:lastRow="0" w:firstColumn="0" w:lastColumn="0" w:noHBand="1" w:noVBand="1"/>
      </w:tblPr>
      <w:tblGrid>
        <w:gridCol w:w="1980"/>
        <w:gridCol w:w="1276"/>
        <w:gridCol w:w="1417"/>
      </w:tblGrid>
      <w:tr w:rsidR="00E61BAB" w:rsidRPr="003E3782" w:rsidTr="003E3782">
        <w:trPr>
          <w:trHeight w:val="10"/>
        </w:trPr>
        <w:tc>
          <w:tcPr>
            <w:tcW w:w="1980" w:type="dxa"/>
            <w:tcBorders>
              <w:top w:val="single" w:sz="4" w:space="0" w:color="auto"/>
              <w:left w:val="single" w:sz="4" w:space="0" w:color="auto"/>
              <w:bottom w:val="single" w:sz="4" w:space="0" w:color="auto"/>
              <w:right w:val="single" w:sz="4" w:space="0" w:color="auto"/>
            </w:tcBorders>
            <w:shd w:val="clear" w:color="auto" w:fill="365F91" w:themeFill="accent1" w:themeFillShade="BF"/>
            <w:tcMar>
              <w:top w:w="15" w:type="dxa"/>
              <w:left w:w="15" w:type="dxa"/>
              <w:bottom w:w="0" w:type="dxa"/>
              <w:right w:w="15" w:type="dxa"/>
            </w:tcMar>
            <w:vAlign w:val="center"/>
            <w:hideMark/>
          </w:tcPr>
          <w:p w:rsidR="00E61BAB" w:rsidRPr="003E3782" w:rsidRDefault="00E61BAB" w:rsidP="003E3782">
            <w:pPr>
              <w:spacing w:after="0" w:line="240" w:lineRule="auto"/>
              <w:jc w:val="center"/>
              <w:rPr>
                <w:rFonts w:ascii="Arial Narrow" w:eastAsia="Calibri" w:hAnsi="Arial Narrow" w:cs="Times New Roman"/>
                <w:b/>
                <w:color w:val="FFFFFF"/>
                <w:sz w:val="18"/>
                <w:szCs w:val="18"/>
              </w:rPr>
            </w:pPr>
            <w:r w:rsidRPr="003E3782">
              <w:rPr>
                <w:rFonts w:ascii="Arial Narrow" w:eastAsia="Calibri" w:hAnsi="Arial Narrow" w:cs="Times New Roman"/>
                <w:b/>
                <w:color w:val="FFFFFF"/>
                <w:sz w:val="18"/>
                <w:szCs w:val="18"/>
              </w:rPr>
              <w:t xml:space="preserve">División de </w:t>
            </w:r>
            <w:r w:rsidR="002D5035" w:rsidRPr="003E3782">
              <w:rPr>
                <w:rFonts w:ascii="Arial Narrow" w:eastAsia="Calibri" w:hAnsi="Arial Narrow" w:cs="Times New Roman"/>
                <w:b/>
                <w:color w:val="FFFFFF"/>
                <w:sz w:val="18"/>
                <w:szCs w:val="18"/>
              </w:rPr>
              <w:t>Distribución</w:t>
            </w:r>
          </w:p>
        </w:tc>
        <w:tc>
          <w:tcPr>
            <w:tcW w:w="1276" w:type="dxa"/>
            <w:tcBorders>
              <w:top w:val="single" w:sz="4" w:space="0" w:color="auto"/>
              <w:left w:val="single" w:sz="4" w:space="0" w:color="auto"/>
              <w:bottom w:val="single" w:sz="4" w:space="0" w:color="auto"/>
              <w:right w:val="single" w:sz="4" w:space="0" w:color="auto"/>
            </w:tcBorders>
            <w:shd w:val="clear" w:color="auto" w:fill="365F91" w:themeFill="accent1" w:themeFillShade="BF"/>
            <w:tcMar>
              <w:top w:w="15" w:type="dxa"/>
              <w:left w:w="15" w:type="dxa"/>
              <w:bottom w:w="0" w:type="dxa"/>
              <w:right w:w="15" w:type="dxa"/>
            </w:tcMar>
            <w:vAlign w:val="center"/>
            <w:hideMark/>
          </w:tcPr>
          <w:p w:rsidR="00E61BAB" w:rsidRPr="003E3782" w:rsidRDefault="00E61BAB" w:rsidP="003E3782">
            <w:pPr>
              <w:spacing w:after="0" w:line="240" w:lineRule="auto"/>
              <w:jc w:val="center"/>
              <w:rPr>
                <w:rFonts w:ascii="Arial Narrow" w:eastAsia="Calibri" w:hAnsi="Arial Narrow" w:cs="Times New Roman"/>
                <w:b/>
                <w:bCs/>
                <w:color w:val="FFFFFF"/>
                <w:sz w:val="18"/>
                <w:szCs w:val="18"/>
              </w:rPr>
            </w:pPr>
            <w:r w:rsidRPr="003E3782">
              <w:rPr>
                <w:rFonts w:ascii="Arial Narrow" w:eastAsia="Calibri" w:hAnsi="Arial Narrow" w:cs="Times New Roman"/>
                <w:b/>
                <w:bCs/>
                <w:color w:val="FFFFFF"/>
                <w:sz w:val="18"/>
                <w:szCs w:val="18"/>
              </w:rPr>
              <w:t>Factores de Pérdidas</w:t>
            </w:r>
          </w:p>
          <w:p w:rsidR="00E61BAB" w:rsidRPr="003E3782" w:rsidRDefault="00E61BAB" w:rsidP="003E3782">
            <w:pPr>
              <w:spacing w:after="0" w:line="240" w:lineRule="auto"/>
              <w:jc w:val="center"/>
              <w:rPr>
                <w:rFonts w:ascii="Arial Narrow" w:eastAsia="Calibri" w:hAnsi="Arial Narrow" w:cs="Times New Roman"/>
                <w:color w:val="FFFFFF"/>
                <w:sz w:val="18"/>
                <w:szCs w:val="18"/>
              </w:rPr>
            </w:pPr>
            <w:r w:rsidRPr="003E3782">
              <w:rPr>
                <w:rFonts w:ascii="Arial Narrow" w:eastAsia="Calibri" w:hAnsi="Arial Narrow" w:cs="Times New Roman"/>
                <w:b/>
                <w:bCs/>
                <w:color w:val="FFFFFF"/>
                <w:sz w:val="18"/>
                <w:szCs w:val="18"/>
              </w:rPr>
              <w:t>BT</w:t>
            </w:r>
          </w:p>
        </w:tc>
        <w:tc>
          <w:tcPr>
            <w:tcW w:w="1417"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E61BAB" w:rsidRPr="003E3782" w:rsidRDefault="00E61BAB" w:rsidP="003E3782">
            <w:pPr>
              <w:spacing w:after="0" w:line="240" w:lineRule="auto"/>
              <w:jc w:val="center"/>
              <w:rPr>
                <w:rFonts w:ascii="Arial Narrow" w:eastAsia="Calibri" w:hAnsi="Arial Narrow" w:cs="Times New Roman"/>
                <w:b/>
                <w:bCs/>
                <w:color w:val="FFFFFF"/>
                <w:sz w:val="18"/>
                <w:szCs w:val="18"/>
              </w:rPr>
            </w:pPr>
            <w:r w:rsidRPr="003E3782">
              <w:rPr>
                <w:rFonts w:ascii="Arial Narrow" w:eastAsia="Calibri" w:hAnsi="Arial Narrow" w:cs="Times New Roman"/>
                <w:b/>
                <w:bCs/>
                <w:color w:val="FFFFFF"/>
                <w:sz w:val="18"/>
                <w:szCs w:val="18"/>
              </w:rPr>
              <w:t>Factores de Pérdidas</w:t>
            </w:r>
          </w:p>
          <w:p w:rsidR="00E61BAB" w:rsidRPr="003E3782" w:rsidRDefault="00E61BAB" w:rsidP="003E3782">
            <w:pPr>
              <w:spacing w:after="0" w:line="240" w:lineRule="auto"/>
              <w:jc w:val="center"/>
              <w:rPr>
                <w:rFonts w:ascii="Arial Narrow" w:eastAsia="Calibri" w:hAnsi="Arial Narrow" w:cs="Times New Roman"/>
                <w:b/>
                <w:bCs/>
                <w:color w:val="FFFFFF"/>
                <w:sz w:val="18"/>
                <w:szCs w:val="18"/>
              </w:rPr>
            </w:pPr>
            <w:r w:rsidRPr="003E3782">
              <w:rPr>
                <w:rFonts w:ascii="Arial Narrow" w:eastAsia="Calibri" w:hAnsi="Arial Narrow" w:cs="Times New Roman"/>
                <w:b/>
                <w:bCs/>
                <w:color w:val="FFFFFF"/>
                <w:sz w:val="18"/>
                <w:szCs w:val="18"/>
              </w:rPr>
              <w:t>MT</w:t>
            </w:r>
          </w:p>
        </w:tc>
      </w:tr>
      <w:tr w:rsidR="00E61BAB" w:rsidRPr="003E3782" w:rsidTr="00E61BAB">
        <w:trPr>
          <w:trHeight w:val="10"/>
        </w:trPr>
        <w:tc>
          <w:tcPr>
            <w:tcW w:w="1980" w:type="dxa"/>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hideMark/>
          </w:tcPr>
          <w:p w:rsidR="00E61BAB" w:rsidRPr="003E3782" w:rsidRDefault="00E61BAB" w:rsidP="003E3782">
            <w:pPr>
              <w:spacing w:after="0" w:line="240" w:lineRule="auto"/>
              <w:jc w:val="center"/>
              <w:rPr>
                <w:rFonts w:ascii="Arial Narrow" w:eastAsia="Times New Roman" w:hAnsi="Arial Narrow" w:cs="Times New Roman"/>
                <w:color w:val="000000"/>
                <w:sz w:val="18"/>
                <w:szCs w:val="18"/>
                <w:lang w:val="es-AR" w:eastAsia="es-AR"/>
              </w:rPr>
            </w:pPr>
            <w:r w:rsidRPr="003E3782">
              <w:rPr>
                <w:rFonts w:ascii="Arial Narrow" w:eastAsia="Times New Roman" w:hAnsi="Arial Narrow" w:cs="Times New Roman"/>
                <w:color w:val="000000"/>
                <w:sz w:val="18"/>
                <w:szCs w:val="18"/>
                <w:lang w:val="pt-BR" w:eastAsia="es-AR"/>
              </w:rPr>
              <w:t>BAJA CALIFORNIA</w:t>
            </w:r>
          </w:p>
        </w:tc>
        <w:tc>
          <w:tcPr>
            <w:tcW w:w="1276" w:type="dxa"/>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hideMark/>
          </w:tcPr>
          <w:p w:rsidR="00E61BAB" w:rsidRPr="003E3782" w:rsidRDefault="00E61BAB" w:rsidP="003E3782">
            <w:pPr>
              <w:spacing w:after="0" w:line="240" w:lineRule="auto"/>
              <w:jc w:val="center"/>
              <w:rPr>
                <w:rFonts w:ascii="Arial Narrow" w:hAnsi="Arial Narrow" w:cs="Times New Roman"/>
                <w:color w:val="000000"/>
                <w:sz w:val="18"/>
                <w:szCs w:val="18"/>
              </w:rPr>
            </w:pPr>
            <w:r w:rsidRPr="003E3782">
              <w:rPr>
                <w:rFonts w:ascii="Arial Narrow" w:hAnsi="Arial Narrow"/>
                <w:color w:val="000000"/>
                <w:sz w:val="18"/>
                <w:szCs w:val="18"/>
              </w:rPr>
              <w:t>1.153945</w:t>
            </w:r>
          </w:p>
        </w:tc>
        <w:tc>
          <w:tcPr>
            <w:tcW w:w="1417" w:type="dxa"/>
            <w:tcBorders>
              <w:top w:val="single" w:sz="4" w:space="0" w:color="auto"/>
              <w:left w:val="single" w:sz="4" w:space="0" w:color="auto"/>
              <w:right w:val="single" w:sz="4" w:space="0" w:color="auto"/>
            </w:tcBorders>
            <w:shd w:val="clear" w:color="auto" w:fill="auto"/>
            <w:vAlign w:val="center"/>
          </w:tcPr>
          <w:p w:rsidR="00E61BAB" w:rsidRPr="003E3782" w:rsidRDefault="00E61BAB" w:rsidP="003E3782">
            <w:pPr>
              <w:spacing w:after="0" w:line="240" w:lineRule="auto"/>
              <w:jc w:val="center"/>
              <w:rPr>
                <w:rFonts w:ascii="Arial Narrow" w:hAnsi="Arial Narrow"/>
                <w:color w:val="000000"/>
                <w:sz w:val="18"/>
                <w:szCs w:val="18"/>
              </w:rPr>
            </w:pPr>
            <w:r w:rsidRPr="003E3782">
              <w:rPr>
                <w:rFonts w:ascii="Arial Narrow" w:hAnsi="Arial Narrow"/>
                <w:color w:val="000000"/>
                <w:sz w:val="18"/>
                <w:szCs w:val="18"/>
              </w:rPr>
              <w:t>1.010646</w:t>
            </w:r>
          </w:p>
        </w:tc>
      </w:tr>
      <w:tr w:rsidR="00E61BAB" w:rsidRPr="003E3782" w:rsidTr="00E61BAB">
        <w:trPr>
          <w:trHeight w:val="10"/>
        </w:trPr>
        <w:tc>
          <w:tcPr>
            <w:tcW w:w="1980"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E61BAB" w:rsidRPr="003E3782" w:rsidRDefault="00E61BAB" w:rsidP="003E3782">
            <w:pPr>
              <w:spacing w:after="0" w:line="240" w:lineRule="auto"/>
              <w:jc w:val="center"/>
              <w:rPr>
                <w:rFonts w:ascii="Arial Narrow" w:eastAsia="Times New Roman" w:hAnsi="Arial Narrow" w:cs="Times New Roman"/>
                <w:color w:val="000000"/>
                <w:sz w:val="18"/>
                <w:szCs w:val="18"/>
                <w:lang w:val="es-AR" w:eastAsia="es-AR"/>
              </w:rPr>
            </w:pPr>
            <w:r w:rsidRPr="003E3782">
              <w:rPr>
                <w:rFonts w:ascii="Arial Narrow" w:eastAsia="Times New Roman" w:hAnsi="Arial Narrow" w:cs="Times New Roman"/>
                <w:color w:val="000000"/>
                <w:sz w:val="18"/>
                <w:szCs w:val="18"/>
                <w:lang w:val="pt-BR" w:eastAsia="es-AR"/>
              </w:rPr>
              <w:t>BAJIO</w:t>
            </w:r>
          </w:p>
        </w:tc>
        <w:tc>
          <w:tcPr>
            <w:tcW w:w="1276"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E61BAB" w:rsidRPr="003E3782" w:rsidRDefault="00E61BAB" w:rsidP="003E3782">
            <w:pPr>
              <w:spacing w:after="0" w:line="240" w:lineRule="auto"/>
              <w:jc w:val="center"/>
              <w:rPr>
                <w:rFonts w:ascii="Arial Narrow" w:hAnsi="Arial Narrow"/>
                <w:color w:val="000000"/>
                <w:sz w:val="18"/>
                <w:szCs w:val="18"/>
              </w:rPr>
            </w:pPr>
            <w:r w:rsidRPr="003E3782">
              <w:rPr>
                <w:rFonts w:ascii="Arial Narrow" w:hAnsi="Arial Narrow"/>
                <w:color w:val="000000"/>
                <w:sz w:val="18"/>
                <w:szCs w:val="18"/>
              </w:rPr>
              <w:t>1.256225</w:t>
            </w:r>
          </w:p>
        </w:tc>
        <w:tc>
          <w:tcPr>
            <w:tcW w:w="1417" w:type="dxa"/>
            <w:tcBorders>
              <w:left w:val="single" w:sz="4" w:space="0" w:color="auto"/>
              <w:right w:val="single" w:sz="4" w:space="0" w:color="auto"/>
            </w:tcBorders>
            <w:shd w:val="clear" w:color="auto" w:fill="auto"/>
            <w:vAlign w:val="center"/>
          </w:tcPr>
          <w:p w:rsidR="00E61BAB" w:rsidRPr="003E3782" w:rsidRDefault="00E61BAB" w:rsidP="003E3782">
            <w:pPr>
              <w:spacing w:after="0" w:line="240" w:lineRule="auto"/>
              <w:jc w:val="center"/>
              <w:rPr>
                <w:rFonts w:ascii="Arial Narrow" w:hAnsi="Arial Narrow"/>
                <w:color w:val="000000"/>
                <w:sz w:val="18"/>
                <w:szCs w:val="18"/>
              </w:rPr>
            </w:pPr>
            <w:r w:rsidRPr="003E3782">
              <w:rPr>
                <w:rFonts w:ascii="Arial Narrow" w:hAnsi="Arial Narrow"/>
                <w:color w:val="000000"/>
                <w:sz w:val="18"/>
                <w:szCs w:val="18"/>
              </w:rPr>
              <w:t>1.023953</w:t>
            </w:r>
          </w:p>
        </w:tc>
      </w:tr>
      <w:tr w:rsidR="00E61BAB" w:rsidRPr="003E3782" w:rsidTr="00E61BAB">
        <w:trPr>
          <w:trHeight w:val="10"/>
        </w:trPr>
        <w:tc>
          <w:tcPr>
            <w:tcW w:w="1980"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E61BAB" w:rsidRPr="003E3782" w:rsidRDefault="00E61BAB" w:rsidP="003E3782">
            <w:pPr>
              <w:spacing w:after="0" w:line="240" w:lineRule="auto"/>
              <w:jc w:val="center"/>
              <w:rPr>
                <w:rFonts w:ascii="Arial Narrow" w:eastAsia="Times New Roman" w:hAnsi="Arial Narrow" w:cs="Times New Roman"/>
                <w:color w:val="000000"/>
                <w:sz w:val="18"/>
                <w:szCs w:val="18"/>
                <w:lang w:val="es-AR" w:eastAsia="es-AR"/>
              </w:rPr>
            </w:pPr>
            <w:r w:rsidRPr="003E3782">
              <w:rPr>
                <w:rFonts w:ascii="Arial Narrow" w:eastAsia="Times New Roman" w:hAnsi="Arial Narrow" w:cs="Times New Roman"/>
                <w:color w:val="000000"/>
                <w:sz w:val="18"/>
                <w:szCs w:val="18"/>
                <w:lang w:val="pt-BR" w:eastAsia="es-AR"/>
              </w:rPr>
              <w:t>CENTRO OCCIDENTE</w:t>
            </w:r>
          </w:p>
        </w:tc>
        <w:tc>
          <w:tcPr>
            <w:tcW w:w="1276"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E61BAB" w:rsidRPr="003E3782" w:rsidRDefault="00E61BAB" w:rsidP="003E3782">
            <w:pPr>
              <w:spacing w:after="0" w:line="240" w:lineRule="auto"/>
              <w:jc w:val="center"/>
              <w:rPr>
                <w:rFonts w:ascii="Arial Narrow" w:hAnsi="Arial Narrow"/>
                <w:color w:val="000000"/>
                <w:sz w:val="18"/>
                <w:szCs w:val="18"/>
              </w:rPr>
            </w:pPr>
            <w:r w:rsidRPr="003E3782">
              <w:rPr>
                <w:rFonts w:ascii="Arial Narrow" w:hAnsi="Arial Narrow"/>
                <w:color w:val="000000"/>
                <w:sz w:val="18"/>
                <w:szCs w:val="18"/>
              </w:rPr>
              <w:t>1.134384</w:t>
            </w:r>
          </w:p>
        </w:tc>
        <w:tc>
          <w:tcPr>
            <w:tcW w:w="1417" w:type="dxa"/>
            <w:tcBorders>
              <w:left w:val="single" w:sz="4" w:space="0" w:color="auto"/>
              <w:right w:val="single" w:sz="4" w:space="0" w:color="auto"/>
            </w:tcBorders>
            <w:shd w:val="clear" w:color="auto" w:fill="auto"/>
            <w:vAlign w:val="center"/>
          </w:tcPr>
          <w:p w:rsidR="00E61BAB" w:rsidRPr="003E3782" w:rsidRDefault="00E61BAB" w:rsidP="003E3782">
            <w:pPr>
              <w:spacing w:after="0" w:line="240" w:lineRule="auto"/>
              <w:jc w:val="center"/>
              <w:rPr>
                <w:rFonts w:ascii="Arial Narrow" w:hAnsi="Arial Narrow"/>
                <w:color w:val="000000"/>
                <w:sz w:val="18"/>
                <w:szCs w:val="18"/>
              </w:rPr>
            </w:pPr>
            <w:r w:rsidRPr="003E3782">
              <w:rPr>
                <w:rFonts w:ascii="Arial Narrow" w:hAnsi="Arial Narrow"/>
                <w:color w:val="000000"/>
                <w:sz w:val="18"/>
                <w:szCs w:val="18"/>
              </w:rPr>
              <w:t>1.015281</w:t>
            </w:r>
          </w:p>
        </w:tc>
      </w:tr>
      <w:tr w:rsidR="00E61BAB" w:rsidRPr="003E3782" w:rsidTr="00E61BAB">
        <w:trPr>
          <w:trHeight w:val="10"/>
        </w:trPr>
        <w:tc>
          <w:tcPr>
            <w:tcW w:w="1980"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E61BAB" w:rsidRPr="003E3782" w:rsidRDefault="00E61BAB" w:rsidP="003E3782">
            <w:pPr>
              <w:spacing w:after="0" w:line="240" w:lineRule="auto"/>
              <w:jc w:val="center"/>
              <w:rPr>
                <w:rFonts w:ascii="Arial Narrow" w:eastAsia="Times New Roman" w:hAnsi="Arial Narrow" w:cs="Times New Roman"/>
                <w:color w:val="000000"/>
                <w:sz w:val="18"/>
                <w:szCs w:val="18"/>
                <w:lang w:val="es-AR" w:eastAsia="es-AR"/>
              </w:rPr>
            </w:pPr>
            <w:r w:rsidRPr="003E3782">
              <w:rPr>
                <w:rFonts w:ascii="Arial Narrow" w:eastAsia="Times New Roman" w:hAnsi="Arial Narrow" w:cs="Times New Roman"/>
                <w:color w:val="000000"/>
                <w:sz w:val="18"/>
                <w:szCs w:val="18"/>
                <w:lang w:val="pt-BR" w:eastAsia="es-AR"/>
              </w:rPr>
              <w:t>CENTRO ORIENTE</w:t>
            </w:r>
          </w:p>
        </w:tc>
        <w:tc>
          <w:tcPr>
            <w:tcW w:w="1276"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E61BAB" w:rsidRPr="003E3782" w:rsidRDefault="00E61BAB" w:rsidP="003E3782">
            <w:pPr>
              <w:spacing w:after="0" w:line="240" w:lineRule="auto"/>
              <w:jc w:val="center"/>
              <w:rPr>
                <w:rFonts w:ascii="Arial Narrow" w:hAnsi="Arial Narrow"/>
                <w:color w:val="000000"/>
                <w:sz w:val="18"/>
                <w:szCs w:val="18"/>
              </w:rPr>
            </w:pPr>
            <w:r w:rsidRPr="003E3782">
              <w:rPr>
                <w:rFonts w:ascii="Arial Narrow" w:hAnsi="Arial Narrow"/>
                <w:color w:val="000000"/>
                <w:sz w:val="18"/>
                <w:szCs w:val="18"/>
              </w:rPr>
              <w:t>1.303908</w:t>
            </w:r>
          </w:p>
        </w:tc>
        <w:tc>
          <w:tcPr>
            <w:tcW w:w="1417" w:type="dxa"/>
            <w:tcBorders>
              <w:left w:val="single" w:sz="4" w:space="0" w:color="auto"/>
              <w:right w:val="single" w:sz="4" w:space="0" w:color="auto"/>
            </w:tcBorders>
            <w:shd w:val="clear" w:color="auto" w:fill="auto"/>
            <w:vAlign w:val="center"/>
          </w:tcPr>
          <w:p w:rsidR="00E61BAB" w:rsidRPr="003E3782" w:rsidRDefault="00E61BAB" w:rsidP="003E3782">
            <w:pPr>
              <w:spacing w:after="0" w:line="240" w:lineRule="auto"/>
              <w:jc w:val="center"/>
              <w:rPr>
                <w:rFonts w:ascii="Arial Narrow" w:hAnsi="Arial Narrow"/>
                <w:color w:val="000000"/>
                <w:sz w:val="18"/>
                <w:szCs w:val="18"/>
              </w:rPr>
            </w:pPr>
            <w:r w:rsidRPr="003E3782">
              <w:rPr>
                <w:rFonts w:ascii="Arial Narrow" w:hAnsi="Arial Narrow"/>
                <w:color w:val="000000"/>
                <w:sz w:val="18"/>
                <w:szCs w:val="18"/>
              </w:rPr>
              <w:t>1.018129</w:t>
            </w:r>
          </w:p>
        </w:tc>
      </w:tr>
      <w:tr w:rsidR="00E61BAB" w:rsidRPr="003E3782" w:rsidTr="00E61BAB">
        <w:trPr>
          <w:trHeight w:val="10"/>
        </w:trPr>
        <w:tc>
          <w:tcPr>
            <w:tcW w:w="1980"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E61BAB" w:rsidRPr="003E3782" w:rsidRDefault="00E61BAB" w:rsidP="003E3782">
            <w:pPr>
              <w:spacing w:after="0" w:line="240" w:lineRule="auto"/>
              <w:jc w:val="center"/>
              <w:rPr>
                <w:rFonts w:ascii="Arial Narrow" w:eastAsia="Times New Roman" w:hAnsi="Arial Narrow" w:cs="Times New Roman"/>
                <w:color w:val="000000"/>
                <w:sz w:val="18"/>
                <w:szCs w:val="18"/>
                <w:lang w:val="es-AR" w:eastAsia="es-AR"/>
              </w:rPr>
            </w:pPr>
            <w:r w:rsidRPr="003E3782">
              <w:rPr>
                <w:rFonts w:ascii="Arial Narrow" w:eastAsia="Times New Roman" w:hAnsi="Arial Narrow" w:cs="Times New Roman"/>
                <w:color w:val="000000"/>
                <w:sz w:val="18"/>
                <w:szCs w:val="18"/>
                <w:lang w:val="pt-BR" w:eastAsia="es-AR"/>
              </w:rPr>
              <w:t>CENTRO SUR</w:t>
            </w:r>
          </w:p>
        </w:tc>
        <w:tc>
          <w:tcPr>
            <w:tcW w:w="1276"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E61BAB" w:rsidRPr="003E3782" w:rsidRDefault="00E61BAB" w:rsidP="003E3782">
            <w:pPr>
              <w:spacing w:after="0" w:line="240" w:lineRule="auto"/>
              <w:jc w:val="center"/>
              <w:rPr>
                <w:rFonts w:ascii="Arial Narrow" w:hAnsi="Arial Narrow"/>
                <w:color w:val="000000"/>
                <w:sz w:val="18"/>
                <w:szCs w:val="18"/>
              </w:rPr>
            </w:pPr>
            <w:r w:rsidRPr="003E3782">
              <w:rPr>
                <w:rFonts w:ascii="Arial Narrow" w:hAnsi="Arial Narrow"/>
                <w:color w:val="000000"/>
                <w:sz w:val="18"/>
                <w:szCs w:val="18"/>
              </w:rPr>
              <w:t>1.411552</w:t>
            </w:r>
          </w:p>
        </w:tc>
        <w:tc>
          <w:tcPr>
            <w:tcW w:w="1417" w:type="dxa"/>
            <w:tcBorders>
              <w:left w:val="single" w:sz="4" w:space="0" w:color="auto"/>
              <w:right w:val="single" w:sz="4" w:space="0" w:color="auto"/>
            </w:tcBorders>
            <w:shd w:val="clear" w:color="auto" w:fill="auto"/>
            <w:vAlign w:val="center"/>
          </w:tcPr>
          <w:p w:rsidR="00E61BAB" w:rsidRPr="003E3782" w:rsidRDefault="00E61BAB" w:rsidP="003E3782">
            <w:pPr>
              <w:spacing w:after="0" w:line="240" w:lineRule="auto"/>
              <w:jc w:val="center"/>
              <w:rPr>
                <w:rFonts w:ascii="Arial Narrow" w:hAnsi="Arial Narrow"/>
                <w:color w:val="000000"/>
                <w:sz w:val="18"/>
                <w:szCs w:val="18"/>
              </w:rPr>
            </w:pPr>
            <w:r w:rsidRPr="003E3782">
              <w:rPr>
                <w:rFonts w:ascii="Arial Narrow" w:hAnsi="Arial Narrow"/>
                <w:color w:val="000000"/>
                <w:sz w:val="18"/>
                <w:szCs w:val="18"/>
              </w:rPr>
              <w:t>1.022964</w:t>
            </w:r>
          </w:p>
        </w:tc>
      </w:tr>
      <w:tr w:rsidR="00E61BAB" w:rsidRPr="003E3782" w:rsidTr="00E61BAB">
        <w:trPr>
          <w:trHeight w:val="10"/>
        </w:trPr>
        <w:tc>
          <w:tcPr>
            <w:tcW w:w="1980"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E61BAB" w:rsidRPr="003E3782" w:rsidRDefault="00E61BAB" w:rsidP="003E3782">
            <w:pPr>
              <w:spacing w:after="0" w:line="240" w:lineRule="auto"/>
              <w:jc w:val="center"/>
              <w:rPr>
                <w:rFonts w:ascii="Arial Narrow" w:eastAsia="Times New Roman" w:hAnsi="Arial Narrow" w:cs="Times New Roman"/>
                <w:color w:val="000000"/>
                <w:sz w:val="18"/>
                <w:szCs w:val="18"/>
                <w:lang w:val="es-AR" w:eastAsia="es-AR"/>
              </w:rPr>
            </w:pPr>
            <w:r w:rsidRPr="003E3782">
              <w:rPr>
                <w:rFonts w:ascii="Arial Narrow" w:eastAsia="Times New Roman" w:hAnsi="Arial Narrow" w:cs="Times New Roman"/>
                <w:color w:val="000000"/>
                <w:sz w:val="18"/>
                <w:szCs w:val="18"/>
                <w:lang w:val="pt-BR" w:eastAsia="es-AR"/>
              </w:rPr>
              <w:t>GOLFO CENTRO</w:t>
            </w:r>
          </w:p>
        </w:tc>
        <w:tc>
          <w:tcPr>
            <w:tcW w:w="1276"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E61BAB" w:rsidRPr="003E3782" w:rsidRDefault="00E61BAB" w:rsidP="003E3782">
            <w:pPr>
              <w:spacing w:after="0" w:line="240" w:lineRule="auto"/>
              <w:jc w:val="center"/>
              <w:rPr>
                <w:rFonts w:ascii="Arial Narrow" w:hAnsi="Arial Narrow"/>
                <w:color w:val="000000"/>
                <w:sz w:val="18"/>
                <w:szCs w:val="18"/>
              </w:rPr>
            </w:pPr>
            <w:r w:rsidRPr="003E3782">
              <w:rPr>
                <w:rFonts w:ascii="Arial Narrow" w:hAnsi="Arial Narrow"/>
                <w:color w:val="000000"/>
                <w:sz w:val="18"/>
                <w:szCs w:val="18"/>
              </w:rPr>
              <w:t>1.172325</w:t>
            </w:r>
          </w:p>
        </w:tc>
        <w:tc>
          <w:tcPr>
            <w:tcW w:w="1417" w:type="dxa"/>
            <w:tcBorders>
              <w:left w:val="single" w:sz="4" w:space="0" w:color="auto"/>
              <w:right w:val="single" w:sz="4" w:space="0" w:color="auto"/>
            </w:tcBorders>
            <w:shd w:val="clear" w:color="auto" w:fill="auto"/>
            <w:vAlign w:val="center"/>
          </w:tcPr>
          <w:p w:rsidR="00E61BAB" w:rsidRPr="003E3782" w:rsidRDefault="00E61BAB" w:rsidP="003E3782">
            <w:pPr>
              <w:spacing w:after="0" w:line="240" w:lineRule="auto"/>
              <w:jc w:val="center"/>
              <w:rPr>
                <w:rFonts w:ascii="Arial Narrow" w:hAnsi="Arial Narrow"/>
                <w:color w:val="000000"/>
                <w:sz w:val="18"/>
                <w:szCs w:val="18"/>
              </w:rPr>
            </w:pPr>
            <w:r w:rsidRPr="003E3782">
              <w:rPr>
                <w:rFonts w:ascii="Arial Narrow" w:hAnsi="Arial Narrow"/>
                <w:color w:val="000000"/>
                <w:sz w:val="18"/>
                <w:szCs w:val="18"/>
              </w:rPr>
              <w:t>1.016816</w:t>
            </w:r>
          </w:p>
        </w:tc>
      </w:tr>
      <w:tr w:rsidR="00E61BAB" w:rsidRPr="003E3782" w:rsidTr="00E61BAB">
        <w:trPr>
          <w:trHeight w:val="10"/>
        </w:trPr>
        <w:tc>
          <w:tcPr>
            <w:tcW w:w="1980"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E61BAB" w:rsidRPr="003E3782" w:rsidRDefault="00E61BAB" w:rsidP="003E3782">
            <w:pPr>
              <w:spacing w:after="0" w:line="240" w:lineRule="auto"/>
              <w:jc w:val="center"/>
              <w:rPr>
                <w:rFonts w:ascii="Arial Narrow" w:eastAsia="Times New Roman" w:hAnsi="Arial Narrow" w:cs="Times New Roman"/>
                <w:color w:val="000000"/>
                <w:sz w:val="18"/>
                <w:szCs w:val="18"/>
                <w:lang w:val="es-AR" w:eastAsia="es-AR"/>
              </w:rPr>
            </w:pPr>
            <w:r w:rsidRPr="003E3782">
              <w:rPr>
                <w:rFonts w:ascii="Arial Narrow" w:eastAsia="Times New Roman" w:hAnsi="Arial Narrow" w:cs="Times New Roman"/>
                <w:color w:val="000000"/>
                <w:sz w:val="18"/>
                <w:szCs w:val="18"/>
                <w:lang w:val="pt-BR" w:eastAsia="es-AR"/>
              </w:rPr>
              <w:t>GOLFO NORTE</w:t>
            </w:r>
          </w:p>
        </w:tc>
        <w:tc>
          <w:tcPr>
            <w:tcW w:w="1276"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E61BAB" w:rsidRPr="003E3782" w:rsidRDefault="00E61BAB" w:rsidP="003E3782">
            <w:pPr>
              <w:spacing w:after="0" w:line="240" w:lineRule="auto"/>
              <w:jc w:val="center"/>
              <w:rPr>
                <w:rFonts w:ascii="Arial Narrow" w:hAnsi="Arial Narrow"/>
                <w:color w:val="000000"/>
                <w:sz w:val="18"/>
                <w:szCs w:val="18"/>
              </w:rPr>
            </w:pPr>
            <w:r w:rsidRPr="003E3782">
              <w:rPr>
                <w:rFonts w:ascii="Arial Narrow" w:hAnsi="Arial Narrow"/>
                <w:color w:val="000000"/>
                <w:sz w:val="18"/>
                <w:szCs w:val="18"/>
              </w:rPr>
              <w:t>1.392461</w:t>
            </w:r>
          </w:p>
        </w:tc>
        <w:tc>
          <w:tcPr>
            <w:tcW w:w="1417" w:type="dxa"/>
            <w:tcBorders>
              <w:left w:val="single" w:sz="4" w:space="0" w:color="auto"/>
              <w:right w:val="single" w:sz="4" w:space="0" w:color="auto"/>
            </w:tcBorders>
            <w:shd w:val="clear" w:color="auto" w:fill="auto"/>
            <w:vAlign w:val="center"/>
          </w:tcPr>
          <w:p w:rsidR="00E61BAB" w:rsidRPr="003E3782" w:rsidRDefault="00E61BAB" w:rsidP="003E3782">
            <w:pPr>
              <w:spacing w:after="0" w:line="240" w:lineRule="auto"/>
              <w:jc w:val="center"/>
              <w:rPr>
                <w:rFonts w:ascii="Arial Narrow" w:hAnsi="Arial Narrow"/>
                <w:color w:val="000000"/>
                <w:sz w:val="18"/>
                <w:szCs w:val="18"/>
              </w:rPr>
            </w:pPr>
            <w:r w:rsidRPr="003E3782">
              <w:rPr>
                <w:rFonts w:ascii="Arial Narrow" w:hAnsi="Arial Narrow"/>
                <w:color w:val="000000"/>
                <w:sz w:val="18"/>
                <w:szCs w:val="18"/>
              </w:rPr>
              <w:t>1.011161</w:t>
            </w:r>
          </w:p>
        </w:tc>
      </w:tr>
      <w:tr w:rsidR="00E61BAB" w:rsidRPr="003E3782" w:rsidTr="00E61BAB">
        <w:trPr>
          <w:trHeight w:val="10"/>
        </w:trPr>
        <w:tc>
          <w:tcPr>
            <w:tcW w:w="1980"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E61BAB" w:rsidRPr="003E3782" w:rsidRDefault="00E61BAB" w:rsidP="003E3782">
            <w:pPr>
              <w:spacing w:after="0" w:line="240" w:lineRule="auto"/>
              <w:jc w:val="center"/>
              <w:rPr>
                <w:rFonts w:ascii="Arial Narrow" w:eastAsia="Times New Roman" w:hAnsi="Arial Narrow" w:cs="Times New Roman"/>
                <w:color w:val="000000"/>
                <w:sz w:val="18"/>
                <w:szCs w:val="18"/>
                <w:lang w:val="es-AR" w:eastAsia="es-AR"/>
              </w:rPr>
            </w:pPr>
            <w:r w:rsidRPr="003E3782">
              <w:rPr>
                <w:rFonts w:ascii="Arial Narrow" w:eastAsia="Times New Roman" w:hAnsi="Arial Narrow" w:cs="Times New Roman"/>
                <w:color w:val="000000"/>
                <w:sz w:val="18"/>
                <w:szCs w:val="18"/>
                <w:lang w:val="pt-BR" w:eastAsia="es-AR"/>
              </w:rPr>
              <w:t>JALISCO</w:t>
            </w:r>
          </w:p>
        </w:tc>
        <w:tc>
          <w:tcPr>
            <w:tcW w:w="1276"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E61BAB" w:rsidRPr="003E3782" w:rsidRDefault="00E61BAB" w:rsidP="003E3782">
            <w:pPr>
              <w:spacing w:after="0" w:line="240" w:lineRule="auto"/>
              <w:jc w:val="center"/>
              <w:rPr>
                <w:rFonts w:ascii="Arial Narrow" w:hAnsi="Arial Narrow"/>
                <w:color w:val="000000"/>
                <w:sz w:val="18"/>
                <w:szCs w:val="18"/>
              </w:rPr>
            </w:pPr>
            <w:r w:rsidRPr="003E3782">
              <w:rPr>
                <w:rFonts w:ascii="Arial Narrow" w:hAnsi="Arial Narrow"/>
                <w:color w:val="000000"/>
                <w:sz w:val="18"/>
                <w:szCs w:val="18"/>
              </w:rPr>
              <w:t>1.354496</w:t>
            </w:r>
          </w:p>
        </w:tc>
        <w:tc>
          <w:tcPr>
            <w:tcW w:w="1417" w:type="dxa"/>
            <w:tcBorders>
              <w:left w:val="single" w:sz="4" w:space="0" w:color="auto"/>
              <w:right w:val="single" w:sz="4" w:space="0" w:color="auto"/>
            </w:tcBorders>
            <w:shd w:val="clear" w:color="auto" w:fill="auto"/>
            <w:vAlign w:val="center"/>
          </w:tcPr>
          <w:p w:rsidR="00E61BAB" w:rsidRPr="003E3782" w:rsidRDefault="00E61BAB" w:rsidP="003E3782">
            <w:pPr>
              <w:spacing w:after="0" w:line="240" w:lineRule="auto"/>
              <w:jc w:val="center"/>
              <w:rPr>
                <w:rFonts w:ascii="Arial Narrow" w:hAnsi="Arial Narrow"/>
                <w:color w:val="000000"/>
                <w:sz w:val="18"/>
                <w:szCs w:val="18"/>
              </w:rPr>
            </w:pPr>
            <w:r w:rsidRPr="003E3782">
              <w:rPr>
                <w:rFonts w:ascii="Arial Narrow" w:hAnsi="Arial Narrow"/>
                <w:color w:val="000000"/>
                <w:sz w:val="18"/>
                <w:szCs w:val="18"/>
              </w:rPr>
              <w:t>1.011934</w:t>
            </w:r>
          </w:p>
        </w:tc>
      </w:tr>
      <w:tr w:rsidR="00E61BAB" w:rsidRPr="003E3782" w:rsidTr="00E61BAB">
        <w:trPr>
          <w:trHeight w:val="10"/>
        </w:trPr>
        <w:tc>
          <w:tcPr>
            <w:tcW w:w="1980"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E61BAB" w:rsidRPr="003E3782" w:rsidRDefault="00E61BAB" w:rsidP="003E3782">
            <w:pPr>
              <w:spacing w:after="0" w:line="240" w:lineRule="auto"/>
              <w:jc w:val="center"/>
              <w:rPr>
                <w:rFonts w:ascii="Arial Narrow" w:eastAsia="Times New Roman" w:hAnsi="Arial Narrow" w:cs="Times New Roman"/>
                <w:color w:val="000000"/>
                <w:sz w:val="18"/>
                <w:szCs w:val="18"/>
                <w:lang w:val="es-AR" w:eastAsia="es-AR"/>
              </w:rPr>
            </w:pPr>
            <w:r w:rsidRPr="003E3782">
              <w:rPr>
                <w:rFonts w:ascii="Arial Narrow" w:eastAsia="Times New Roman" w:hAnsi="Arial Narrow" w:cs="Times New Roman"/>
                <w:color w:val="000000"/>
                <w:sz w:val="18"/>
                <w:szCs w:val="18"/>
                <w:lang w:val="pt-BR" w:eastAsia="es-AR"/>
              </w:rPr>
              <w:t>NOROESTE</w:t>
            </w:r>
          </w:p>
        </w:tc>
        <w:tc>
          <w:tcPr>
            <w:tcW w:w="1276"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E61BAB" w:rsidRPr="003E3782" w:rsidRDefault="00E61BAB" w:rsidP="003E3782">
            <w:pPr>
              <w:spacing w:after="0" w:line="240" w:lineRule="auto"/>
              <w:jc w:val="center"/>
              <w:rPr>
                <w:rFonts w:ascii="Arial Narrow" w:hAnsi="Arial Narrow"/>
                <w:color w:val="000000"/>
                <w:sz w:val="18"/>
                <w:szCs w:val="18"/>
              </w:rPr>
            </w:pPr>
            <w:r w:rsidRPr="003E3782">
              <w:rPr>
                <w:rFonts w:ascii="Arial Narrow" w:hAnsi="Arial Narrow"/>
                <w:color w:val="000000"/>
                <w:sz w:val="18"/>
                <w:szCs w:val="18"/>
              </w:rPr>
              <w:t>1.181434</w:t>
            </w:r>
          </w:p>
        </w:tc>
        <w:tc>
          <w:tcPr>
            <w:tcW w:w="1417" w:type="dxa"/>
            <w:tcBorders>
              <w:left w:val="single" w:sz="4" w:space="0" w:color="auto"/>
              <w:right w:val="single" w:sz="4" w:space="0" w:color="auto"/>
            </w:tcBorders>
            <w:shd w:val="clear" w:color="auto" w:fill="auto"/>
            <w:vAlign w:val="center"/>
          </w:tcPr>
          <w:p w:rsidR="00E61BAB" w:rsidRPr="003E3782" w:rsidRDefault="00E61BAB" w:rsidP="003E3782">
            <w:pPr>
              <w:spacing w:after="0" w:line="240" w:lineRule="auto"/>
              <w:jc w:val="center"/>
              <w:rPr>
                <w:rFonts w:ascii="Arial Narrow" w:hAnsi="Arial Narrow"/>
                <w:color w:val="000000"/>
                <w:sz w:val="18"/>
                <w:szCs w:val="18"/>
              </w:rPr>
            </w:pPr>
            <w:r w:rsidRPr="003E3782">
              <w:rPr>
                <w:rFonts w:ascii="Arial Narrow" w:hAnsi="Arial Narrow"/>
                <w:color w:val="000000"/>
                <w:sz w:val="18"/>
                <w:szCs w:val="18"/>
              </w:rPr>
              <w:t>1.013286</w:t>
            </w:r>
          </w:p>
        </w:tc>
      </w:tr>
      <w:tr w:rsidR="00E61BAB" w:rsidRPr="003E3782" w:rsidTr="00E61BAB">
        <w:trPr>
          <w:trHeight w:val="10"/>
        </w:trPr>
        <w:tc>
          <w:tcPr>
            <w:tcW w:w="1980"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E61BAB" w:rsidRPr="003E3782" w:rsidRDefault="00E61BAB" w:rsidP="003E3782">
            <w:pPr>
              <w:spacing w:after="0" w:line="240" w:lineRule="auto"/>
              <w:jc w:val="center"/>
              <w:rPr>
                <w:rFonts w:ascii="Arial Narrow" w:eastAsia="Times New Roman" w:hAnsi="Arial Narrow" w:cs="Times New Roman"/>
                <w:color w:val="000000"/>
                <w:sz w:val="18"/>
                <w:szCs w:val="18"/>
                <w:lang w:val="es-AR" w:eastAsia="es-AR"/>
              </w:rPr>
            </w:pPr>
            <w:r w:rsidRPr="003E3782">
              <w:rPr>
                <w:rFonts w:ascii="Arial Narrow" w:eastAsia="Times New Roman" w:hAnsi="Arial Narrow" w:cs="Times New Roman"/>
                <w:color w:val="000000"/>
                <w:sz w:val="18"/>
                <w:szCs w:val="18"/>
                <w:lang w:val="pt-BR" w:eastAsia="es-AR"/>
              </w:rPr>
              <w:t>NORTE</w:t>
            </w:r>
          </w:p>
        </w:tc>
        <w:tc>
          <w:tcPr>
            <w:tcW w:w="1276"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E61BAB" w:rsidRPr="003E3782" w:rsidRDefault="00E61BAB" w:rsidP="003E3782">
            <w:pPr>
              <w:spacing w:after="0" w:line="240" w:lineRule="auto"/>
              <w:jc w:val="center"/>
              <w:rPr>
                <w:rFonts w:ascii="Arial Narrow" w:hAnsi="Arial Narrow"/>
                <w:color w:val="000000"/>
                <w:sz w:val="18"/>
                <w:szCs w:val="18"/>
              </w:rPr>
            </w:pPr>
            <w:r w:rsidRPr="003E3782">
              <w:rPr>
                <w:rFonts w:ascii="Arial Narrow" w:hAnsi="Arial Narrow"/>
                <w:color w:val="000000"/>
                <w:sz w:val="18"/>
                <w:szCs w:val="18"/>
              </w:rPr>
              <w:t>1.249104</w:t>
            </w:r>
          </w:p>
        </w:tc>
        <w:tc>
          <w:tcPr>
            <w:tcW w:w="1417" w:type="dxa"/>
            <w:tcBorders>
              <w:left w:val="single" w:sz="4" w:space="0" w:color="auto"/>
              <w:right w:val="single" w:sz="4" w:space="0" w:color="auto"/>
            </w:tcBorders>
            <w:shd w:val="clear" w:color="auto" w:fill="auto"/>
            <w:vAlign w:val="center"/>
          </w:tcPr>
          <w:p w:rsidR="00E61BAB" w:rsidRPr="003E3782" w:rsidRDefault="00E61BAB" w:rsidP="003E3782">
            <w:pPr>
              <w:spacing w:after="0" w:line="240" w:lineRule="auto"/>
              <w:jc w:val="center"/>
              <w:rPr>
                <w:rFonts w:ascii="Arial Narrow" w:hAnsi="Arial Narrow"/>
                <w:color w:val="000000"/>
                <w:sz w:val="18"/>
                <w:szCs w:val="18"/>
              </w:rPr>
            </w:pPr>
            <w:r w:rsidRPr="003E3782">
              <w:rPr>
                <w:rFonts w:ascii="Arial Narrow" w:hAnsi="Arial Narrow"/>
                <w:color w:val="000000"/>
                <w:sz w:val="18"/>
                <w:szCs w:val="18"/>
              </w:rPr>
              <w:t>1.026250</w:t>
            </w:r>
          </w:p>
        </w:tc>
      </w:tr>
      <w:tr w:rsidR="00E61BAB" w:rsidRPr="003E3782" w:rsidTr="00E61BAB">
        <w:trPr>
          <w:trHeight w:val="10"/>
        </w:trPr>
        <w:tc>
          <w:tcPr>
            <w:tcW w:w="1980"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E61BAB" w:rsidRPr="003E3782" w:rsidRDefault="00E61BAB" w:rsidP="003E3782">
            <w:pPr>
              <w:spacing w:after="0" w:line="240" w:lineRule="auto"/>
              <w:jc w:val="center"/>
              <w:rPr>
                <w:rFonts w:ascii="Arial Narrow" w:eastAsia="Times New Roman" w:hAnsi="Arial Narrow" w:cs="Times New Roman"/>
                <w:color w:val="000000"/>
                <w:sz w:val="18"/>
                <w:szCs w:val="18"/>
                <w:lang w:val="es-AR" w:eastAsia="es-AR"/>
              </w:rPr>
            </w:pPr>
            <w:r w:rsidRPr="003E3782">
              <w:rPr>
                <w:rFonts w:ascii="Arial Narrow" w:eastAsia="Times New Roman" w:hAnsi="Arial Narrow" w:cs="Times New Roman"/>
                <w:color w:val="000000"/>
                <w:sz w:val="18"/>
                <w:szCs w:val="18"/>
                <w:lang w:val="pt-BR" w:eastAsia="es-AR"/>
              </w:rPr>
              <w:t>ORIENTE</w:t>
            </w:r>
          </w:p>
        </w:tc>
        <w:tc>
          <w:tcPr>
            <w:tcW w:w="1276"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E61BAB" w:rsidRPr="003E3782" w:rsidRDefault="00E61BAB" w:rsidP="003E3782">
            <w:pPr>
              <w:spacing w:after="0" w:line="240" w:lineRule="auto"/>
              <w:jc w:val="center"/>
              <w:rPr>
                <w:rFonts w:ascii="Arial Narrow" w:hAnsi="Arial Narrow"/>
                <w:color w:val="000000"/>
                <w:sz w:val="18"/>
                <w:szCs w:val="18"/>
              </w:rPr>
            </w:pPr>
            <w:r w:rsidRPr="003E3782">
              <w:rPr>
                <w:rFonts w:ascii="Arial Narrow" w:hAnsi="Arial Narrow"/>
                <w:color w:val="000000"/>
                <w:sz w:val="18"/>
                <w:szCs w:val="18"/>
              </w:rPr>
              <w:t>1.303991</w:t>
            </w:r>
          </w:p>
        </w:tc>
        <w:tc>
          <w:tcPr>
            <w:tcW w:w="1417" w:type="dxa"/>
            <w:tcBorders>
              <w:left w:val="single" w:sz="4" w:space="0" w:color="auto"/>
              <w:right w:val="single" w:sz="4" w:space="0" w:color="auto"/>
            </w:tcBorders>
            <w:shd w:val="clear" w:color="auto" w:fill="auto"/>
            <w:vAlign w:val="center"/>
          </w:tcPr>
          <w:p w:rsidR="00E61BAB" w:rsidRPr="003E3782" w:rsidRDefault="00E61BAB" w:rsidP="003E3782">
            <w:pPr>
              <w:spacing w:after="0" w:line="240" w:lineRule="auto"/>
              <w:jc w:val="center"/>
              <w:rPr>
                <w:rFonts w:ascii="Arial Narrow" w:hAnsi="Arial Narrow"/>
                <w:color w:val="000000"/>
                <w:sz w:val="18"/>
                <w:szCs w:val="18"/>
              </w:rPr>
            </w:pPr>
            <w:r w:rsidRPr="003E3782">
              <w:rPr>
                <w:rFonts w:ascii="Arial Narrow" w:hAnsi="Arial Narrow"/>
                <w:color w:val="000000"/>
                <w:sz w:val="18"/>
                <w:szCs w:val="18"/>
              </w:rPr>
              <w:t>1.022741</w:t>
            </w:r>
          </w:p>
        </w:tc>
      </w:tr>
      <w:tr w:rsidR="00E61BAB" w:rsidRPr="003E3782" w:rsidTr="00E61BAB">
        <w:trPr>
          <w:trHeight w:val="10"/>
        </w:trPr>
        <w:tc>
          <w:tcPr>
            <w:tcW w:w="1980" w:type="dxa"/>
            <w:tcBorders>
              <w:left w:val="single" w:sz="4" w:space="0" w:color="auto"/>
              <w:right w:val="single" w:sz="4" w:space="0" w:color="auto"/>
            </w:tcBorders>
            <w:shd w:val="clear" w:color="auto" w:fill="auto"/>
            <w:tcMar>
              <w:top w:w="15" w:type="dxa"/>
              <w:left w:w="15" w:type="dxa"/>
              <w:bottom w:w="0" w:type="dxa"/>
              <w:right w:w="15" w:type="dxa"/>
            </w:tcMar>
            <w:vAlign w:val="center"/>
            <w:hideMark/>
          </w:tcPr>
          <w:p w:rsidR="00E61BAB" w:rsidRPr="003E3782" w:rsidRDefault="00E61BAB" w:rsidP="003E3782">
            <w:pPr>
              <w:spacing w:after="0" w:line="240" w:lineRule="auto"/>
              <w:jc w:val="center"/>
              <w:rPr>
                <w:rFonts w:ascii="Arial Narrow" w:eastAsia="Times New Roman" w:hAnsi="Arial Narrow" w:cs="Times New Roman"/>
                <w:color w:val="000000"/>
                <w:sz w:val="18"/>
                <w:szCs w:val="18"/>
                <w:lang w:val="es-AR" w:eastAsia="es-AR"/>
              </w:rPr>
            </w:pPr>
            <w:r w:rsidRPr="003E3782">
              <w:rPr>
                <w:rFonts w:ascii="Arial Narrow" w:eastAsia="Times New Roman" w:hAnsi="Arial Narrow" w:cs="Times New Roman"/>
                <w:color w:val="000000"/>
                <w:sz w:val="18"/>
                <w:szCs w:val="18"/>
                <w:lang w:val="pt-BR" w:eastAsia="es-AR"/>
              </w:rPr>
              <w:t>PENINSULAR</w:t>
            </w:r>
          </w:p>
        </w:tc>
        <w:tc>
          <w:tcPr>
            <w:tcW w:w="1276" w:type="dxa"/>
            <w:tcBorders>
              <w:left w:val="single" w:sz="4" w:space="0" w:color="auto"/>
              <w:right w:val="single" w:sz="4" w:space="0" w:color="auto"/>
            </w:tcBorders>
            <w:shd w:val="clear" w:color="auto" w:fill="auto"/>
            <w:tcMar>
              <w:top w:w="15" w:type="dxa"/>
              <w:left w:w="15" w:type="dxa"/>
              <w:bottom w:w="0" w:type="dxa"/>
              <w:right w:w="15" w:type="dxa"/>
            </w:tcMar>
            <w:vAlign w:val="center"/>
            <w:hideMark/>
          </w:tcPr>
          <w:p w:rsidR="00E61BAB" w:rsidRPr="003E3782" w:rsidRDefault="00E61BAB" w:rsidP="003E3782">
            <w:pPr>
              <w:spacing w:after="0" w:line="240" w:lineRule="auto"/>
              <w:jc w:val="center"/>
              <w:rPr>
                <w:rFonts w:ascii="Arial Narrow" w:hAnsi="Arial Narrow"/>
                <w:color w:val="000000"/>
                <w:sz w:val="18"/>
                <w:szCs w:val="18"/>
              </w:rPr>
            </w:pPr>
            <w:r w:rsidRPr="003E3782">
              <w:rPr>
                <w:rFonts w:ascii="Arial Narrow" w:hAnsi="Arial Narrow"/>
                <w:color w:val="000000"/>
                <w:sz w:val="18"/>
                <w:szCs w:val="18"/>
              </w:rPr>
              <w:t>1.251517</w:t>
            </w:r>
          </w:p>
        </w:tc>
        <w:tc>
          <w:tcPr>
            <w:tcW w:w="1417" w:type="dxa"/>
            <w:tcBorders>
              <w:left w:val="single" w:sz="4" w:space="0" w:color="auto"/>
              <w:right w:val="single" w:sz="4" w:space="0" w:color="auto"/>
            </w:tcBorders>
            <w:shd w:val="clear" w:color="auto" w:fill="auto"/>
            <w:vAlign w:val="center"/>
          </w:tcPr>
          <w:p w:rsidR="00E61BAB" w:rsidRPr="003E3782" w:rsidRDefault="00E61BAB" w:rsidP="003E3782">
            <w:pPr>
              <w:spacing w:after="0" w:line="240" w:lineRule="auto"/>
              <w:jc w:val="center"/>
              <w:rPr>
                <w:rFonts w:ascii="Arial Narrow" w:hAnsi="Arial Narrow"/>
                <w:color w:val="000000"/>
                <w:sz w:val="18"/>
                <w:szCs w:val="18"/>
              </w:rPr>
            </w:pPr>
            <w:r w:rsidRPr="003E3782">
              <w:rPr>
                <w:rFonts w:ascii="Arial Narrow" w:hAnsi="Arial Narrow"/>
                <w:color w:val="000000"/>
                <w:sz w:val="18"/>
                <w:szCs w:val="18"/>
              </w:rPr>
              <w:t>1.019918</w:t>
            </w:r>
          </w:p>
        </w:tc>
      </w:tr>
      <w:tr w:rsidR="00E61BAB" w:rsidRPr="003E3782" w:rsidTr="00E61BAB">
        <w:trPr>
          <w:trHeight w:val="10"/>
        </w:trPr>
        <w:tc>
          <w:tcPr>
            <w:tcW w:w="1980"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E61BAB" w:rsidRPr="003E3782" w:rsidRDefault="00E61BAB" w:rsidP="003E3782">
            <w:pPr>
              <w:spacing w:after="0" w:line="240" w:lineRule="auto"/>
              <w:jc w:val="center"/>
              <w:rPr>
                <w:rFonts w:ascii="Arial Narrow" w:eastAsia="Times New Roman" w:hAnsi="Arial Narrow" w:cs="Times New Roman"/>
                <w:color w:val="000000"/>
                <w:sz w:val="18"/>
                <w:szCs w:val="18"/>
                <w:lang w:val="es-AR" w:eastAsia="es-AR"/>
              </w:rPr>
            </w:pPr>
            <w:r w:rsidRPr="003E3782">
              <w:rPr>
                <w:rFonts w:ascii="Arial Narrow" w:eastAsia="Times New Roman" w:hAnsi="Arial Narrow" w:cs="Times New Roman"/>
                <w:color w:val="000000"/>
                <w:sz w:val="18"/>
                <w:szCs w:val="18"/>
                <w:lang w:val="pt-BR" w:eastAsia="es-AR"/>
              </w:rPr>
              <w:t>SURESTE</w:t>
            </w:r>
          </w:p>
        </w:tc>
        <w:tc>
          <w:tcPr>
            <w:tcW w:w="1276"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E61BAB" w:rsidRPr="003E3782" w:rsidRDefault="00E61BAB" w:rsidP="003E3782">
            <w:pPr>
              <w:spacing w:after="0" w:line="240" w:lineRule="auto"/>
              <w:jc w:val="center"/>
              <w:rPr>
                <w:rFonts w:ascii="Arial Narrow" w:hAnsi="Arial Narrow"/>
                <w:color w:val="000000"/>
                <w:sz w:val="18"/>
                <w:szCs w:val="18"/>
              </w:rPr>
            </w:pPr>
            <w:r w:rsidRPr="003E3782">
              <w:rPr>
                <w:rFonts w:ascii="Arial Narrow" w:hAnsi="Arial Narrow"/>
                <w:color w:val="000000"/>
                <w:sz w:val="18"/>
                <w:szCs w:val="18"/>
              </w:rPr>
              <w:t>1.249001</w:t>
            </w:r>
          </w:p>
        </w:tc>
        <w:tc>
          <w:tcPr>
            <w:tcW w:w="1417" w:type="dxa"/>
            <w:tcBorders>
              <w:left w:val="single" w:sz="4" w:space="0" w:color="auto"/>
              <w:right w:val="single" w:sz="4" w:space="0" w:color="auto"/>
            </w:tcBorders>
            <w:shd w:val="clear" w:color="auto" w:fill="auto"/>
            <w:vAlign w:val="center"/>
          </w:tcPr>
          <w:p w:rsidR="00E61BAB" w:rsidRPr="003E3782" w:rsidRDefault="00E61BAB" w:rsidP="003E3782">
            <w:pPr>
              <w:spacing w:after="0" w:line="240" w:lineRule="auto"/>
              <w:jc w:val="center"/>
              <w:rPr>
                <w:rFonts w:ascii="Arial Narrow" w:hAnsi="Arial Narrow"/>
                <w:color w:val="000000"/>
                <w:sz w:val="18"/>
                <w:szCs w:val="18"/>
              </w:rPr>
            </w:pPr>
            <w:r w:rsidRPr="003E3782">
              <w:rPr>
                <w:rFonts w:ascii="Arial Narrow" w:hAnsi="Arial Narrow"/>
                <w:color w:val="000000"/>
                <w:sz w:val="18"/>
                <w:szCs w:val="18"/>
              </w:rPr>
              <w:t>1.034820</w:t>
            </w:r>
          </w:p>
        </w:tc>
      </w:tr>
      <w:tr w:rsidR="00E61BAB" w:rsidRPr="003E3782" w:rsidTr="00E61BAB">
        <w:trPr>
          <w:trHeight w:val="10"/>
        </w:trPr>
        <w:tc>
          <w:tcPr>
            <w:tcW w:w="1980"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E61BAB" w:rsidRPr="003E3782" w:rsidRDefault="00E61BAB" w:rsidP="003E3782">
            <w:pPr>
              <w:spacing w:after="0" w:line="240" w:lineRule="auto"/>
              <w:jc w:val="center"/>
              <w:rPr>
                <w:rFonts w:ascii="Arial Narrow" w:eastAsia="Times New Roman" w:hAnsi="Arial Narrow" w:cs="Times New Roman"/>
                <w:color w:val="000000"/>
                <w:sz w:val="18"/>
                <w:szCs w:val="18"/>
                <w:lang w:val="es-AR" w:eastAsia="es-AR"/>
              </w:rPr>
            </w:pPr>
            <w:r w:rsidRPr="003E3782">
              <w:rPr>
                <w:rFonts w:ascii="Arial Narrow" w:eastAsia="Times New Roman" w:hAnsi="Arial Narrow" w:cs="Times New Roman"/>
                <w:color w:val="000000"/>
                <w:sz w:val="18"/>
                <w:szCs w:val="18"/>
                <w:lang w:val="pt-BR" w:eastAsia="es-AR"/>
              </w:rPr>
              <w:t>VALLE MEXICO CENT</w:t>
            </w:r>
          </w:p>
        </w:tc>
        <w:tc>
          <w:tcPr>
            <w:tcW w:w="1276"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E61BAB" w:rsidRPr="003E3782" w:rsidRDefault="00E61BAB" w:rsidP="003E3782">
            <w:pPr>
              <w:spacing w:after="0" w:line="240" w:lineRule="auto"/>
              <w:jc w:val="center"/>
              <w:rPr>
                <w:rFonts w:ascii="Arial Narrow" w:hAnsi="Arial Narrow"/>
                <w:color w:val="000000"/>
                <w:sz w:val="18"/>
                <w:szCs w:val="18"/>
              </w:rPr>
            </w:pPr>
            <w:r w:rsidRPr="003E3782">
              <w:rPr>
                <w:rFonts w:ascii="Arial Narrow" w:hAnsi="Arial Narrow"/>
                <w:color w:val="000000"/>
                <w:sz w:val="18"/>
                <w:szCs w:val="18"/>
              </w:rPr>
              <w:t>1.473152</w:t>
            </w:r>
          </w:p>
        </w:tc>
        <w:tc>
          <w:tcPr>
            <w:tcW w:w="1417" w:type="dxa"/>
            <w:tcBorders>
              <w:left w:val="single" w:sz="4" w:space="0" w:color="auto"/>
              <w:right w:val="single" w:sz="4" w:space="0" w:color="auto"/>
            </w:tcBorders>
            <w:shd w:val="clear" w:color="auto" w:fill="auto"/>
            <w:vAlign w:val="center"/>
          </w:tcPr>
          <w:p w:rsidR="00E61BAB" w:rsidRPr="003E3782" w:rsidRDefault="00E61BAB" w:rsidP="003E3782">
            <w:pPr>
              <w:spacing w:after="0" w:line="240" w:lineRule="auto"/>
              <w:jc w:val="center"/>
              <w:rPr>
                <w:rFonts w:ascii="Arial Narrow" w:hAnsi="Arial Narrow"/>
                <w:color w:val="000000"/>
                <w:sz w:val="18"/>
                <w:szCs w:val="18"/>
              </w:rPr>
            </w:pPr>
            <w:r w:rsidRPr="003E3782">
              <w:rPr>
                <w:rFonts w:ascii="Arial Narrow" w:hAnsi="Arial Narrow"/>
                <w:color w:val="000000"/>
                <w:sz w:val="18"/>
                <w:szCs w:val="18"/>
              </w:rPr>
              <w:t>1.008133</w:t>
            </w:r>
          </w:p>
        </w:tc>
      </w:tr>
      <w:tr w:rsidR="00E61BAB" w:rsidRPr="003E3782" w:rsidTr="00E61BAB">
        <w:trPr>
          <w:trHeight w:val="10"/>
        </w:trPr>
        <w:tc>
          <w:tcPr>
            <w:tcW w:w="1980"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E61BAB" w:rsidRPr="003E3782" w:rsidRDefault="00E61BAB" w:rsidP="003E3782">
            <w:pPr>
              <w:spacing w:after="0" w:line="240" w:lineRule="auto"/>
              <w:jc w:val="center"/>
              <w:rPr>
                <w:rFonts w:ascii="Arial Narrow" w:eastAsia="Times New Roman" w:hAnsi="Arial Narrow" w:cs="Times New Roman"/>
                <w:color w:val="000000"/>
                <w:sz w:val="18"/>
                <w:szCs w:val="18"/>
                <w:lang w:val="es-AR" w:eastAsia="es-AR"/>
              </w:rPr>
            </w:pPr>
            <w:r w:rsidRPr="003E3782">
              <w:rPr>
                <w:rFonts w:ascii="Arial Narrow" w:eastAsia="Times New Roman" w:hAnsi="Arial Narrow" w:cs="Times New Roman"/>
                <w:color w:val="000000"/>
                <w:sz w:val="18"/>
                <w:szCs w:val="18"/>
                <w:lang w:val="pt-BR" w:eastAsia="es-AR"/>
              </w:rPr>
              <w:t>VALLE MEXICO NTE</w:t>
            </w:r>
          </w:p>
        </w:tc>
        <w:tc>
          <w:tcPr>
            <w:tcW w:w="1276" w:type="dxa"/>
            <w:tcBorders>
              <w:left w:val="single" w:sz="4" w:space="0" w:color="auto"/>
              <w:right w:val="single" w:sz="4" w:space="0" w:color="auto"/>
            </w:tcBorders>
            <w:shd w:val="clear" w:color="auto" w:fill="auto"/>
            <w:tcMar>
              <w:top w:w="15" w:type="dxa"/>
              <w:left w:w="15" w:type="dxa"/>
              <w:bottom w:w="0" w:type="dxa"/>
              <w:right w:w="15" w:type="dxa"/>
            </w:tcMar>
            <w:vAlign w:val="center"/>
          </w:tcPr>
          <w:p w:rsidR="00E61BAB" w:rsidRPr="003E3782" w:rsidRDefault="00E61BAB" w:rsidP="003E3782">
            <w:pPr>
              <w:spacing w:after="0" w:line="240" w:lineRule="auto"/>
              <w:jc w:val="center"/>
              <w:rPr>
                <w:rFonts w:ascii="Arial Narrow" w:hAnsi="Arial Narrow"/>
                <w:color w:val="000000"/>
                <w:sz w:val="18"/>
                <w:szCs w:val="18"/>
              </w:rPr>
            </w:pPr>
            <w:r w:rsidRPr="003E3782">
              <w:rPr>
                <w:rFonts w:ascii="Arial Narrow" w:hAnsi="Arial Narrow"/>
                <w:color w:val="000000"/>
                <w:sz w:val="18"/>
                <w:szCs w:val="18"/>
              </w:rPr>
              <w:t>1.727678</w:t>
            </w:r>
          </w:p>
        </w:tc>
        <w:tc>
          <w:tcPr>
            <w:tcW w:w="1417" w:type="dxa"/>
            <w:tcBorders>
              <w:left w:val="single" w:sz="4" w:space="0" w:color="auto"/>
              <w:right w:val="single" w:sz="4" w:space="0" w:color="auto"/>
            </w:tcBorders>
            <w:shd w:val="clear" w:color="auto" w:fill="auto"/>
            <w:vAlign w:val="center"/>
          </w:tcPr>
          <w:p w:rsidR="00E61BAB" w:rsidRPr="003E3782" w:rsidRDefault="00E61BAB" w:rsidP="003E3782">
            <w:pPr>
              <w:spacing w:after="0" w:line="240" w:lineRule="auto"/>
              <w:jc w:val="center"/>
              <w:rPr>
                <w:rFonts w:ascii="Arial Narrow" w:hAnsi="Arial Narrow"/>
                <w:color w:val="000000"/>
                <w:sz w:val="18"/>
                <w:szCs w:val="18"/>
              </w:rPr>
            </w:pPr>
            <w:r w:rsidRPr="003E3782">
              <w:rPr>
                <w:rFonts w:ascii="Arial Narrow" w:hAnsi="Arial Narrow"/>
                <w:color w:val="000000"/>
                <w:sz w:val="18"/>
                <w:szCs w:val="18"/>
              </w:rPr>
              <w:t>1.006909</w:t>
            </w:r>
          </w:p>
        </w:tc>
      </w:tr>
      <w:tr w:rsidR="00E61BAB" w:rsidRPr="003E3782" w:rsidTr="00E61BAB">
        <w:trPr>
          <w:trHeight w:val="10"/>
        </w:trPr>
        <w:tc>
          <w:tcPr>
            <w:tcW w:w="1980" w:type="dxa"/>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61BAB" w:rsidRPr="003E3782" w:rsidRDefault="00E61BAB" w:rsidP="003E3782">
            <w:pPr>
              <w:spacing w:after="0" w:line="240" w:lineRule="auto"/>
              <w:jc w:val="center"/>
              <w:rPr>
                <w:rFonts w:ascii="Arial Narrow" w:eastAsia="Times New Roman" w:hAnsi="Arial Narrow" w:cs="Times New Roman"/>
                <w:color w:val="000000"/>
                <w:sz w:val="18"/>
                <w:szCs w:val="18"/>
                <w:lang w:val="es-AR" w:eastAsia="es-AR"/>
              </w:rPr>
            </w:pPr>
            <w:r w:rsidRPr="003E3782">
              <w:rPr>
                <w:rFonts w:ascii="Arial Narrow" w:eastAsia="Times New Roman" w:hAnsi="Arial Narrow" w:cs="Times New Roman"/>
                <w:color w:val="000000"/>
                <w:sz w:val="18"/>
                <w:szCs w:val="18"/>
                <w:lang w:val="pt-BR" w:eastAsia="es-AR"/>
              </w:rPr>
              <w:t>VALLE MEXICO SUR</w:t>
            </w:r>
          </w:p>
        </w:tc>
        <w:tc>
          <w:tcPr>
            <w:tcW w:w="1276" w:type="dxa"/>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61BAB" w:rsidRPr="003E3782" w:rsidRDefault="00E61BAB" w:rsidP="003E3782">
            <w:pPr>
              <w:spacing w:after="0" w:line="240" w:lineRule="auto"/>
              <w:jc w:val="center"/>
              <w:rPr>
                <w:rFonts w:ascii="Arial Narrow" w:hAnsi="Arial Narrow"/>
                <w:color w:val="000000"/>
                <w:sz w:val="18"/>
                <w:szCs w:val="18"/>
              </w:rPr>
            </w:pPr>
            <w:r w:rsidRPr="003E3782">
              <w:rPr>
                <w:rFonts w:ascii="Arial Narrow" w:hAnsi="Arial Narrow"/>
                <w:color w:val="000000"/>
                <w:sz w:val="18"/>
                <w:szCs w:val="18"/>
              </w:rPr>
              <w:t>1.706530</w:t>
            </w:r>
          </w:p>
        </w:tc>
        <w:tc>
          <w:tcPr>
            <w:tcW w:w="1417" w:type="dxa"/>
            <w:tcBorders>
              <w:left w:val="single" w:sz="4" w:space="0" w:color="auto"/>
              <w:bottom w:val="single" w:sz="4" w:space="0" w:color="auto"/>
              <w:right w:val="single" w:sz="4" w:space="0" w:color="auto"/>
            </w:tcBorders>
            <w:shd w:val="clear" w:color="auto" w:fill="auto"/>
            <w:vAlign w:val="center"/>
          </w:tcPr>
          <w:p w:rsidR="00E61BAB" w:rsidRPr="003E3782" w:rsidRDefault="00E61BAB" w:rsidP="003E3782">
            <w:pPr>
              <w:spacing w:after="0" w:line="240" w:lineRule="auto"/>
              <w:jc w:val="center"/>
              <w:rPr>
                <w:rFonts w:ascii="Arial Narrow" w:hAnsi="Arial Narrow"/>
                <w:color w:val="000000"/>
                <w:sz w:val="18"/>
                <w:szCs w:val="18"/>
              </w:rPr>
            </w:pPr>
            <w:r w:rsidRPr="003E3782">
              <w:rPr>
                <w:rFonts w:ascii="Arial Narrow" w:hAnsi="Arial Narrow"/>
                <w:color w:val="000000"/>
                <w:sz w:val="18"/>
                <w:szCs w:val="18"/>
              </w:rPr>
              <w:t>1.009948</w:t>
            </w:r>
          </w:p>
        </w:tc>
      </w:tr>
    </w:tbl>
    <w:p w:rsidR="003E3782" w:rsidRDefault="003E3782" w:rsidP="00814C47">
      <w:pPr>
        <w:spacing w:after="200" w:line="240" w:lineRule="auto"/>
        <w:jc w:val="both"/>
        <w:rPr>
          <w:rFonts w:ascii="Arial Narrow" w:hAnsi="Arial Narrow" w:cs="Arial"/>
        </w:rPr>
      </w:pPr>
    </w:p>
    <w:p w:rsidR="00F94EF8" w:rsidRDefault="00F94EF8" w:rsidP="00814C47">
      <w:pPr>
        <w:spacing w:after="200" w:line="240" w:lineRule="auto"/>
        <w:jc w:val="both"/>
        <w:rPr>
          <w:rFonts w:ascii="Arial Narrow" w:hAnsi="Arial Narrow" w:cs="Arial"/>
        </w:rPr>
      </w:pPr>
    </w:p>
    <w:p w:rsidR="00F94EF8" w:rsidRDefault="00F94EF8" w:rsidP="00814C47">
      <w:pPr>
        <w:spacing w:after="200" w:line="240" w:lineRule="auto"/>
        <w:jc w:val="both"/>
        <w:rPr>
          <w:rFonts w:ascii="Arial Narrow" w:hAnsi="Arial Narrow" w:cs="Arial"/>
        </w:rPr>
      </w:pPr>
    </w:p>
    <w:p w:rsidR="00F94EF8" w:rsidRDefault="00F94EF8" w:rsidP="00814C47">
      <w:pPr>
        <w:spacing w:after="200" w:line="240" w:lineRule="auto"/>
        <w:jc w:val="both"/>
        <w:rPr>
          <w:rFonts w:ascii="Arial Narrow" w:hAnsi="Arial Narrow" w:cs="Arial"/>
        </w:rPr>
      </w:pPr>
    </w:p>
    <w:p w:rsidR="00F94EF8" w:rsidRDefault="00F94EF8" w:rsidP="00814C47">
      <w:pPr>
        <w:spacing w:after="200" w:line="240" w:lineRule="auto"/>
        <w:jc w:val="both"/>
        <w:rPr>
          <w:rFonts w:ascii="Arial Narrow" w:hAnsi="Arial Narrow" w:cs="Arial"/>
        </w:rPr>
      </w:pPr>
    </w:p>
    <w:p w:rsidR="00F94EF8" w:rsidRDefault="00F94EF8" w:rsidP="00814C47">
      <w:pPr>
        <w:spacing w:after="200" w:line="240" w:lineRule="auto"/>
        <w:jc w:val="both"/>
        <w:rPr>
          <w:rFonts w:ascii="Arial Narrow" w:hAnsi="Arial Narrow" w:cs="Arial"/>
        </w:rPr>
      </w:pPr>
    </w:p>
    <w:p w:rsidR="00F94EF8" w:rsidRDefault="00F94EF8" w:rsidP="00814C47">
      <w:pPr>
        <w:spacing w:after="200" w:line="240" w:lineRule="auto"/>
        <w:jc w:val="both"/>
        <w:rPr>
          <w:rFonts w:ascii="Arial Narrow" w:hAnsi="Arial Narrow" w:cs="Arial"/>
        </w:rPr>
      </w:pPr>
    </w:p>
    <w:p w:rsidR="00F94EF8" w:rsidRDefault="00F94EF8" w:rsidP="00814C47">
      <w:pPr>
        <w:spacing w:after="200" w:line="240" w:lineRule="auto"/>
        <w:jc w:val="both"/>
        <w:rPr>
          <w:rFonts w:ascii="Arial Narrow" w:hAnsi="Arial Narrow" w:cs="Arial"/>
        </w:rPr>
      </w:pPr>
    </w:p>
    <w:p w:rsidR="00F94EF8" w:rsidRDefault="00F94EF8" w:rsidP="00814C47">
      <w:pPr>
        <w:spacing w:after="200" w:line="240" w:lineRule="auto"/>
        <w:jc w:val="both"/>
        <w:rPr>
          <w:rFonts w:ascii="Arial Narrow" w:hAnsi="Arial Narrow" w:cs="Arial"/>
        </w:rPr>
      </w:pPr>
    </w:p>
    <w:p w:rsidR="003E3782" w:rsidRPr="00814C47" w:rsidRDefault="003E3782" w:rsidP="00814C47">
      <w:pPr>
        <w:spacing w:after="200" w:line="240" w:lineRule="auto"/>
        <w:jc w:val="both"/>
        <w:rPr>
          <w:rFonts w:ascii="Arial Narrow" w:hAnsi="Arial Narrow" w:cs="Arial"/>
        </w:rPr>
      </w:pPr>
    </w:p>
    <w:p w:rsidR="005F0CE9" w:rsidRPr="00F94EF8" w:rsidRDefault="00F94EF8" w:rsidP="00F94EF8">
      <w:pPr>
        <w:pStyle w:val="Prrafodelista"/>
        <w:keepNext/>
        <w:keepLines/>
        <w:numPr>
          <w:ilvl w:val="2"/>
          <w:numId w:val="15"/>
        </w:numPr>
        <w:spacing w:after="0" w:line="240" w:lineRule="auto"/>
        <w:ind w:left="450" w:hanging="450"/>
        <w:jc w:val="both"/>
        <w:outlineLvl w:val="0"/>
        <w:rPr>
          <w:rFonts w:ascii="Arial Narrow" w:eastAsiaTheme="majorEastAsia" w:hAnsi="Arial Narrow" w:cstheme="majorBidi"/>
          <w:b/>
          <w:bCs/>
          <w:color w:val="000000" w:themeColor="text1"/>
        </w:rPr>
      </w:pPr>
      <w:r w:rsidRPr="00F94EF8">
        <w:rPr>
          <w:rFonts w:ascii="Arial Narrow" w:eastAsiaTheme="majorEastAsia" w:hAnsi="Arial Narrow" w:cstheme="majorBidi"/>
          <w:b/>
          <w:bCs/>
          <w:color w:val="000000" w:themeColor="text1"/>
        </w:rPr>
        <w:t>Energía ingresada a la red de D</w:t>
      </w:r>
      <w:r w:rsidR="00B17CAF" w:rsidRPr="00F94EF8">
        <w:rPr>
          <w:rFonts w:ascii="Arial Narrow" w:eastAsiaTheme="majorEastAsia" w:hAnsi="Arial Narrow" w:cstheme="majorBidi"/>
          <w:b/>
          <w:bCs/>
          <w:color w:val="000000" w:themeColor="text1"/>
        </w:rPr>
        <w:t>istribución y pérdidas de energía.</w:t>
      </w:r>
    </w:p>
    <w:p w:rsidR="00B17CAF" w:rsidRPr="00814C47" w:rsidRDefault="00876E7E" w:rsidP="00814C47">
      <w:pPr>
        <w:spacing w:line="240" w:lineRule="auto"/>
        <w:jc w:val="both"/>
        <w:rPr>
          <w:rFonts w:ascii="Arial Narrow" w:hAnsi="Arial Narrow"/>
          <w:lang w:val="es-AR"/>
        </w:rPr>
      </w:pPr>
      <w:r w:rsidRPr="00814C47">
        <w:rPr>
          <w:rFonts w:ascii="Arial Narrow" w:hAnsi="Arial Narrow"/>
          <w:lang w:val="es-AR"/>
        </w:rPr>
        <w:t>A partir de los factores de pérdidas a</w:t>
      </w:r>
      <w:r w:rsidR="00AD5D50" w:rsidRPr="00814C47">
        <w:rPr>
          <w:rFonts w:ascii="Arial Narrow" w:hAnsi="Arial Narrow"/>
          <w:lang w:val="es-AR"/>
        </w:rPr>
        <w:t>cumulados es posible determinar</w:t>
      </w:r>
      <w:r w:rsidR="00F94EF8">
        <w:rPr>
          <w:rFonts w:ascii="Arial Narrow" w:hAnsi="Arial Narrow"/>
          <w:lang w:val="es-AR"/>
        </w:rPr>
        <w:t xml:space="preserve">: </w:t>
      </w:r>
      <w:r w:rsidR="00AD5D50" w:rsidRPr="00814C47">
        <w:rPr>
          <w:rFonts w:ascii="Arial Narrow" w:hAnsi="Arial Narrow"/>
          <w:lang w:val="es-AR"/>
        </w:rPr>
        <w:t xml:space="preserve">(1) la cantidad de </w:t>
      </w:r>
      <w:r w:rsidR="004B5DF3">
        <w:rPr>
          <w:rFonts w:ascii="Arial Narrow" w:hAnsi="Arial Narrow"/>
          <w:lang w:val="es-AR"/>
        </w:rPr>
        <w:t xml:space="preserve">energía ingresada a la red y </w:t>
      </w:r>
      <w:r w:rsidR="00B17CAF" w:rsidRPr="00814C47">
        <w:rPr>
          <w:rFonts w:ascii="Arial Narrow" w:hAnsi="Arial Narrow"/>
          <w:lang w:val="es-AR"/>
        </w:rPr>
        <w:t xml:space="preserve">(2) </w:t>
      </w:r>
      <w:r w:rsidRPr="00814C47">
        <w:rPr>
          <w:rFonts w:ascii="Arial Narrow" w:hAnsi="Arial Narrow"/>
          <w:lang w:val="es-AR"/>
        </w:rPr>
        <w:t>las pérdidas totales de</w:t>
      </w:r>
      <w:r w:rsidR="00F94EF8">
        <w:rPr>
          <w:rFonts w:ascii="Arial Narrow" w:hAnsi="Arial Narrow"/>
          <w:lang w:val="es-AR"/>
        </w:rPr>
        <w:t xml:space="preserve"> energía reconocidos para cada d</w:t>
      </w:r>
      <w:r w:rsidRPr="00814C47">
        <w:rPr>
          <w:rFonts w:ascii="Arial Narrow" w:hAnsi="Arial Narrow"/>
          <w:lang w:val="es-AR"/>
        </w:rPr>
        <w:t>ivisión</w:t>
      </w:r>
      <w:r w:rsidR="00F94EF8">
        <w:rPr>
          <w:rFonts w:ascii="Arial Narrow" w:hAnsi="Arial Narrow"/>
          <w:lang w:val="es-AR"/>
        </w:rPr>
        <w:t xml:space="preserve"> de Distribución</w:t>
      </w:r>
      <w:r w:rsidR="00AD5D50" w:rsidRPr="00814C47">
        <w:rPr>
          <w:rFonts w:ascii="Arial Narrow" w:hAnsi="Arial Narrow"/>
          <w:lang w:val="es-AR"/>
        </w:rPr>
        <w:t>. La energía ingresada resulta de multiplicar el factor de pérdidas acumulativo por la energía medida para cada nivel de tensión, mientras que la energía pérdida resulta de restar a la energía ingresada, la energía medida</w:t>
      </w:r>
      <w:r w:rsidR="00B17CAF" w:rsidRPr="00814C47">
        <w:rPr>
          <w:rFonts w:ascii="Arial Narrow" w:hAnsi="Arial Narrow"/>
          <w:lang w:val="es-AR"/>
        </w:rPr>
        <w:t>.</w:t>
      </w:r>
      <w:r w:rsidR="00AD5D50" w:rsidRPr="00814C47">
        <w:rPr>
          <w:rFonts w:ascii="Arial Narrow" w:hAnsi="Arial Narrow"/>
          <w:lang w:val="es-AR"/>
        </w:rPr>
        <w:t xml:space="preserve"> Así</w:t>
      </w:r>
      <w:r w:rsidR="009E6D17" w:rsidRPr="00814C47">
        <w:rPr>
          <w:rFonts w:ascii="Arial Narrow" w:hAnsi="Arial Narrow"/>
          <w:lang w:val="es-AR"/>
        </w:rPr>
        <w:t>,</w:t>
      </w:r>
      <w:r w:rsidR="00AD5D50" w:rsidRPr="00814C47">
        <w:rPr>
          <w:rFonts w:ascii="Arial Narrow" w:hAnsi="Arial Narrow"/>
          <w:lang w:val="es-AR"/>
        </w:rPr>
        <w:t xml:space="preserve"> las pérdidas reconoc</w:t>
      </w:r>
      <w:r w:rsidR="00F94EF8">
        <w:rPr>
          <w:rFonts w:ascii="Arial Narrow" w:hAnsi="Arial Narrow"/>
          <w:lang w:val="es-AR"/>
        </w:rPr>
        <w:t>idas para cada división de Distribución</w:t>
      </w:r>
      <w:r w:rsidR="00AD5D50" w:rsidRPr="00814C47">
        <w:rPr>
          <w:rFonts w:ascii="Arial Narrow" w:hAnsi="Arial Narrow"/>
          <w:lang w:val="es-AR"/>
        </w:rPr>
        <w:t xml:space="preserve"> están dadas por la siguiente fórmula:</w:t>
      </w:r>
    </w:p>
    <w:p w:rsidR="00AD5D50" w:rsidRPr="00814C47" w:rsidRDefault="00AD5D50" w:rsidP="00814C47">
      <w:pPr>
        <w:spacing w:line="240" w:lineRule="auto"/>
        <w:jc w:val="both"/>
        <w:rPr>
          <w:rFonts w:ascii="Arial Narrow" w:eastAsiaTheme="minorEastAsia" w:hAnsi="Arial Narrow"/>
        </w:rPr>
      </w:pPr>
      <m:oMathPara>
        <m:oMath>
          <m:r>
            <w:rPr>
              <w:rFonts w:ascii="Cambria Math" w:hAnsi="Cambria Math"/>
            </w:rPr>
            <m:t>Pejk=</m:t>
          </m:r>
          <m:d>
            <m:dPr>
              <m:ctrlPr>
                <w:rPr>
                  <w:rFonts w:ascii="Cambria Math" w:hAnsi="Cambria Math"/>
                  <w:i/>
                </w:rPr>
              </m:ctrlPr>
            </m:dPr>
            <m:e>
              <m:r>
                <w:rPr>
                  <w:rFonts w:ascii="Cambria Math" w:hAnsi="Cambria Math"/>
                </w:rPr>
                <m:t>Embtk*FPAbtk-Embtk</m:t>
              </m:r>
            </m:e>
          </m:d>
          <m:r>
            <w:rPr>
              <w:rFonts w:ascii="Cambria Math" w:hAnsi="Cambria Math"/>
            </w:rPr>
            <m:t>+(Emmtk*FPAmtk-Emmt)</m:t>
          </m:r>
        </m:oMath>
      </m:oMathPara>
    </w:p>
    <w:p w:rsidR="009E6D17" w:rsidRPr="00814C47" w:rsidRDefault="009E6D17" w:rsidP="00814C47">
      <w:pPr>
        <w:spacing w:line="240" w:lineRule="auto"/>
        <w:jc w:val="both"/>
        <w:rPr>
          <w:rFonts w:ascii="Arial Narrow" w:eastAsiaTheme="minorEastAsia" w:hAnsi="Arial Narrow"/>
        </w:rPr>
      </w:pPr>
      <m:oMathPara>
        <m:oMath>
          <m:r>
            <w:rPr>
              <w:rFonts w:ascii="Cambria Math" w:hAnsi="Cambria Math"/>
            </w:rPr>
            <m:t>Pejk=Embtk*(FPAbtk-1)+Emmt*(FPAmtk-1)</m:t>
          </m:r>
        </m:oMath>
      </m:oMathPara>
    </w:p>
    <w:p w:rsidR="00876E7E" w:rsidRPr="00814C47" w:rsidRDefault="00876E7E" w:rsidP="00814C47">
      <w:pPr>
        <w:spacing w:line="240" w:lineRule="auto"/>
        <w:jc w:val="both"/>
        <w:rPr>
          <w:rFonts w:ascii="Arial Narrow" w:hAnsi="Arial Narrow"/>
          <w:b/>
          <w:lang w:val="es-AR"/>
        </w:rPr>
      </w:pPr>
    </w:p>
    <w:p w:rsidR="009E6D17" w:rsidRPr="00814C47" w:rsidRDefault="009E6D17" w:rsidP="00814C47">
      <w:pPr>
        <w:spacing w:line="240" w:lineRule="auto"/>
        <w:jc w:val="both"/>
        <w:rPr>
          <w:rFonts w:ascii="Arial Narrow" w:hAnsi="Arial Narrow"/>
          <w:lang w:val="es-AR"/>
        </w:rPr>
      </w:pPr>
      <w:r w:rsidRPr="00814C47">
        <w:rPr>
          <w:rFonts w:ascii="Arial Narrow" w:hAnsi="Arial Narrow"/>
          <w:lang w:val="es-AR"/>
        </w:rPr>
        <w:t>Donde:</w:t>
      </w:r>
    </w:p>
    <w:p w:rsidR="00876E7E" w:rsidRPr="00814C47" w:rsidRDefault="009E6D17" w:rsidP="00814C47">
      <w:pPr>
        <w:spacing w:line="240" w:lineRule="auto"/>
        <w:jc w:val="both"/>
        <w:rPr>
          <w:rFonts w:ascii="Arial Narrow" w:hAnsi="Arial Narrow"/>
          <w:lang w:val="es-AR"/>
        </w:rPr>
      </w:pPr>
      <m:oMath>
        <m:r>
          <w:rPr>
            <w:rFonts w:ascii="Cambria Math" w:hAnsi="Cambria Math"/>
          </w:rPr>
          <m:t>Pejk</m:t>
        </m:r>
      </m:oMath>
      <w:r w:rsidRPr="00814C47">
        <w:rPr>
          <w:rFonts w:ascii="Arial Narrow" w:hAnsi="Arial Narrow"/>
          <w:lang w:val="es-AR"/>
        </w:rPr>
        <w:t xml:space="preserve"> </w:t>
      </w:r>
      <w:r w:rsidR="00876E7E" w:rsidRPr="00814C47">
        <w:rPr>
          <w:rFonts w:ascii="Arial Narrow" w:hAnsi="Arial Narrow"/>
          <w:lang w:val="es-AR"/>
        </w:rPr>
        <w:t>= Son las pérdidas tot</w:t>
      </w:r>
      <w:r w:rsidRPr="00814C47">
        <w:rPr>
          <w:rFonts w:ascii="Arial Narrow" w:hAnsi="Arial Narrow"/>
          <w:lang w:val="es-AR"/>
        </w:rPr>
        <w:t xml:space="preserve">ales de energía de la división </w:t>
      </w:r>
      <m:oMath>
        <m:r>
          <w:rPr>
            <w:rFonts w:ascii="Cambria Math" w:hAnsi="Cambria Math"/>
          </w:rPr>
          <m:t>k</m:t>
        </m:r>
      </m:oMath>
      <w:r w:rsidRPr="00814C47">
        <w:rPr>
          <w:rFonts w:ascii="Arial Narrow" w:eastAsiaTheme="minorEastAsia" w:hAnsi="Arial Narrow"/>
        </w:rPr>
        <w:t>.</w:t>
      </w:r>
    </w:p>
    <w:p w:rsidR="00876E7E" w:rsidRPr="00814C47" w:rsidRDefault="009E6D17" w:rsidP="00814C47">
      <w:pPr>
        <w:spacing w:line="240" w:lineRule="auto"/>
        <w:jc w:val="both"/>
        <w:rPr>
          <w:rFonts w:ascii="Arial Narrow" w:hAnsi="Arial Narrow"/>
          <w:lang w:val="es-AR"/>
        </w:rPr>
      </w:pPr>
      <m:oMath>
        <m:r>
          <w:rPr>
            <w:rFonts w:ascii="Cambria Math" w:hAnsi="Cambria Math"/>
          </w:rPr>
          <m:t>Embtk</m:t>
        </m:r>
      </m:oMath>
      <w:r w:rsidRPr="00814C47">
        <w:rPr>
          <w:rFonts w:ascii="Arial Narrow" w:hAnsi="Arial Narrow"/>
          <w:lang w:val="es-AR"/>
        </w:rPr>
        <w:t xml:space="preserve"> </w:t>
      </w:r>
      <w:r w:rsidR="00876E7E" w:rsidRPr="00814C47">
        <w:rPr>
          <w:rFonts w:ascii="Arial Narrow" w:hAnsi="Arial Narrow"/>
          <w:lang w:val="es-AR"/>
        </w:rPr>
        <w:t xml:space="preserve">= Es la energía total medida en baja tensión en la división </w:t>
      </w:r>
      <m:oMath>
        <m:r>
          <w:rPr>
            <w:rFonts w:ascii="Cambria Math" w:hAnsi="Cambria Math"/>
          </w:rPr>
          <m:t>k</m:t>
        </m:r>
      </m:oMath>
      <w:r w:rsidR="00876E7E" w:rsidRPr="00814C47">
        <w:rPr>
          <w:rFonts w:ascii="Arial Narrow" w:hAnsi="Arial Narrow"/>
          <w:lang w:val="es-AR"/>
        </w:rPr>
        <w:t>.</w:t>
      </w:r>
    </w:p>
    <w:p w:rsidR="00876E7E" w:rsidRPr="00814C47" w:rsidRDefault="009E6D17" w:rsidP="00814C47">
      <w:pPr>
        <w:spacing w:line="240" w:lineRule="auto"/>
        <w:jc w:val="both"/>
        <w:rPr>
          <w:rFonts w:ascii="Arial Narrow" w:hAnsi="Arial Narrow"/>
          <w:lang w:val="es-AR"/>
        </w:rPr>
      </w:pPr>
      <m:oMath>
        <m:r>
          <w:rPr>
            <w:rFonts w:ascii="Cambria Math" w:hAnsi="Cambria Math"/>
          </w:rPr>
          <m:t>Emmtk</m:t>
        </m:r>
      </m:oMath>
      <w:r w:rsidRPr="00814C47">
        <w:rPr>
          <w:rFonts w:ascii="Arial Narrow" w:hAnsi="Arial Narrow"/>
          <w:lang w:val="es-AR"/>
        </w:rPr>
        <w:t xml:space="preserve"> </w:t>
      </w:r>
      <w:r w:rsidR="00876E7E" w:rsidRPr="00814C47">
        <w:rPr>
          <w:rFonts w:ascii="Arial Narrow" w:hAnsi="Arial Narrow"/>
          <w:lang w:val="es-AR"/>
        </w:rPr>
        <w:t xml:space="preserve">= Es la energía total medida en media tensión en la división </w:t>
      </w:r>
      <m:oMath>
        <m:r>
          <w:rPr>
            <w:rFonts w:ascii="Cambria Math" w:hAnsi="Cambria Math"/>
          </w:rPr>
          <m:t>k</m:t>
        </m:r>
      </m:oMath>
      <w:r w:rsidR="00876E7E" w:rsidRPr="00814C47">
        <w:rPr>
          <w:rFonts w:ascii="Arial Narrow" w:hAnsi="Arial Narrow"/>
          <w:lang w:val="es-AR"/>
        </w:rPr>
        <w:t>.</w:t>
      </w:r>
    </w:p>
    <w:p w:rsidR="008F66CD" w:rsidRPr="00814C47" w:rsidRDefault="009E6D17" w:rsidP="00814C47">
      <w:pPr>
        <w:spacing w:line="240" w:lineRule="auto"/>
        <w:jc w:val="both"/>
        <w:rPr>
          <w:rFonts w:ascii="Arial Narrow" w:hAnsi="Arial Narrow"/>
          <w:lang w:val="es-AR"/>
        </w:rPr>
      </w:pPr>
      <m:oMath>
        <m:r>
          <w:rPr>
            <w:rFonts w:ascii="Cambria Math" w:hAnsi="Cambria Math"/>
          </w:rPr>
          <m:t>FPAbtk</m:t>
        </m:r>
      </m:oMath>
      <w:r w:rsidRPr="00814C47">
        <w:rPr>
          <w:rFonts w:ascii="Arial Narrow" w:hAnsi="Arial Narrow"/>
          <w:lang w:val="es-AR"/>
        </w:rPr>
        <w:t xml:space="preserve"> y </w:t>
      </w:r>
      <m:oMath>
        <m:r>
          <w:rPr>
            <w:rFonts w:ascii="Cambria Math" w:hAnsi="Cambria Math"/>
          </w:rPr>
          <m:t>FPAmtk</m:t>
        </m:r>
      </m:oMath>
      <w:r w:rsidRPr="00814C47">
        <w:rPr>
          <w:rFonts w:ascii="Arial Narrow" w:hAnsi="Arial Narrow"/>
          <w:lang w:val="es-AR"/>
        </w:rPr>
        <w:t xml:space="preserve"> </w:t>
      </w:r>
      <w:r w:rsidR="00876E7E" w:rsidRPr="00814C47">
        <w:rPr>
          <w:rFonts w:ascii="Arial Narrow" w:hAnsi="Arial Narrow"/>
          <w:lang w:val="es-AR"/>
        </w:rPr>
        <w:t>son los factores de pérdidas acumulados para baja y media tensión respectivamente y para la división</w:t>
      </w:r>
      <w:r w:rsidRPr="00814C47">
        <w:rPr>
          <w:rFonts w:ascii="Arial Narrow" w:hAnsi="Arial Narrow"/>
          <w:lang w:val="es-AR"/>
        </w:rPr>
        <w:t xml:space="preserve"> </w:t>
      </w:r>
      <m:oMath>
        <m:r>
          <w:rPr>
            <w:rFonts w:ascii="Cambria Math" w:hAnsi="Cambria Math"/>
          </w:rPr>
          <m:t>k</m:t>
        </m:r>
      </m:oMath>
      <w:r w:rsidR="008F66CD">
        <w:rPr>
          <w:rFonts w:ascii="Arial Narrow" w:hAnsi="Arial Narrow"/>
          <w:lang w:val="es-AR"/>
        </w:rPr>
        <w:t>.</w:t>
      </w:r>
    </w:p>
    <w:p w:rsidR="004B5DF3" w:rsidRDefault="001242F4" w:rsidP="00D84484">
      <w:pPr>
        <w:keepNext/>
        <w:keepLines/>
        <w:numPr>
          <w:ilvl w:val="0"/>
          <w:numId w:val="15"/>
        </w:numPr>
        <w:spacing w:after="200" w:line="240" w:lineRule="auto"/>
        <w:ind w:left="426"/>
        <w:jc w:val="both"/>
        <w:outlineLvl w:val="0"/>
        <w:rPr>
          <w:rFonts w:ascii="Arial Narrow" w:eastAsiaTheme="majorEastAsia" w:hAnsi="Arial Narrow" w:cstheme="majorBidi"/>
          <w:b/>
          <w:bCs/>
          <w:color w:val="000000" w:themeColor="text1"/>
        </w:rPr>
      </w:pPr>
      <w:r w:rsidRPr="00814C47">
        <w:rPr>
          <w:rFonts w:ascii="Arial Narrow" w:eastAsiaTheme="majorEastAsia" w:hAnsi="Arial Narrow" w:cstheme="majorBidi"/>
          <w:b/>
          <w:bCs/>
          <w:color w:val="000000" w:themeColor="text1"/>
        </w:rPr>
        <w:t>Senderos de eficiencia</w:t>
      </w:r>
    </w:p>
    <w:p w:rsidR="004B5DF3" w:rsidRPr="00F94EF8" w:rsidRDefault="00EB11D6" w:rsidP="00F94EF8">
      <w:pPr>
        <w:spacing w:after="120" w:line="240" w:lineRule="auto"/>
        <w:jc w:val="both"/>
        <w:rPr>
          <w:rFonts w:ascii="Arial Narrow" w:hAnsi="Arial Narrow"/>
          <w:lang w:val="es-ES"/>
        </w:rPr>
      </w:pPr>
      <w:r w:rsidRPr="00F94EF8">
        <w:rPr>
          <w:rFonts w:ascii="Arial Narrow" w:hAnsi="Arial Narrow"/>
          <w:lang w:val="es-ES"/>
        </w:rPr>
        <w:t>De la necesidad de establecer ingresos r</w:t>
      </w:r>
      <w:r w:rsidR="00E45EEB" w:rsidRPr="00F94EF8">
        <w:rPr>
          <w:rFonts w:ascii="Arial Narrow" w:hAnsi="Arial Narrow"/>
          <w:lang w:val="es-ES"/>
        </w:rPr>
        <w:t>equeridos eficientes, se definieron</w:t>
      </w:r>
      <w:r w:rsidRPr="00F94EF8">
        <w:rPr>
          <w:rFonts w:ascii="Arial Narrow" w:hAnsi="Arial Narrow"/>
          <w:lang w:val="es-ES"/>
        </w:rPr>
        <w:t xml:space="preserve"> niveles de eficiencia en costos de explotación y en pérdidas para </w:t>
      </w:r>
      <w:r w:rsidR="00DF3BE3">
        <w:rPr>
          <w:rFonts w:ascii="Arial Narrow" w:hAnsi="Arial Narrow"/>
          <w:lang w:val="es-ES"/>
        </w:rPr>
        <w:t xml:space="preserve">los años </w:t>
      </w:r>
      <w:r w:rsidRPr="00F94EF8">
        <w:rPr>
          <w:rFonts w:ascii="Arial Narrow" w:hAnsi="Arial Narrow"/>
          <w:lang w:val="es-ES"/>
        </w:rPr>
        <w:t>201</w:t>
      </w:r>
      <w:r w:rsidR="00DF3BE3">
        <w:rPr>
          <w:rFonts w:ascii="Arial Narrow" w:hAnsi="Arial Narrow"/>
          <w:lang w:val="es-ES"/>
        </w:rPr>
        <w:t xml:space="preserve">7 y </w:t>
      </w:r>
      <w:r w:rsidRPr="00F94EF8">
        <w:rPr>
          <w:rFonts w:ascii="Arial Narrow" w:hAnsi="Arial Narrow"/>
          <w:lang w:val="es-ES"/>
        </w:rPr>
        <w:t>-2018.</w:t>
      </w:r>
      <w:r w:rsidR="00EE387B" w:rsidRPr="00F94EF8">
        <w:rPr>
          <w:rFonts w:ascii="Arial Narrow" w:hAnsi="Arial Narrow"/>
          <w:lang w:val="es-ES"/>
        </w:rPr>
        <w:t>H</w:t>
      </w:r>
      <w:r w:rsidR="002F6BEA" w:rsidRPr="00F94EF8">
        <w:rPr>
          <w:rFonts w:ascii="Arial Narrow" w:hAnsi="Arial Narrow"/>
          <w:lang w:val="es-ES"/>
        </w:rPr>
        <w:t>aciendo un análisis comparativo de las eficiencias relativas observadas entre las 16 divisiones, se define un sendero de eficiencia para cada una de ellas, tanto en pérdidas técnicas, no t</w:t>
      </w:r>
      <w:r w:rsidR="00FF0EBA" w:rsidRPr="00F94EF8">
        <w:rPr>
          <w:rFonts w:ascii="Arial Narrow" w:hAnsi="Arial Narrow"/>
          <w:lang w:val="es-ES"/>
        </w:rPr>
        <w:t>écnicas y costos de explotación</w:t>
      </w:r>
      <w:r w:rsidR="009F11A7" w:rsidRPr="00F94EF8">
        <w:rPr>
          <w:rFonts w:ascii="Arial Narrow" w:hAnsi="Arial Narrow"/>
          <w:lang w:val="es-ES"/>
        </w:rPr>
        <w:t xml:space="preserve">. </w:t>
      </w:r>
      <w:r w:rsidR="00162B8A" w:rsidRPr="00F94EF8">
        <w:rPr>
          <w:rFonts w:ascii="Arial Narrow" w:hAnsi="Arial Narrow"/>
          <w:lang w:val="es-ES"/>
        </w:rPr>
        <w:t xml:space="preserve">Además, </w:t>
      </w:r>
      <w:r w:rsidR="002F6BEA" w:rsidRPr="00F94EF8">
        <w:rPr>
          <w:rFonts w:ascii="Arial Narrow" w:hAnsi="Arial Narrow"/>
          <w:lang w:val="es-ES"/>
        </w:rPr>
        <w:t>por ser la prestación del servicio de distribución un monopolio natural, que como tal tiene economías de escala, se incorpora un factor de econom</w:t>
      </w:r>
      <w:r w:rsidR="004B5DF3" w:rsidRPr="00F94EF8">
        <w:rPr>
          <w:rFonts w:ascii="Arial Narrow" w:hAnsi="Arial Narrow"/>
          <w:lang w:val="es-ES"/>
        </w:rPr>
        <w:t>ía de escala único para las divisiones de distribución.</w:t>
      </w:r>
    </w:p>
    <w:p w:rsidR="007B689E" w:rsidRPr="00814C47" w:rsidRDefault="00003B67" w:rsidP="00B35D10">
      <w:pPr>
        <w:pStyle w:val="Prrafodelista"/>
        <w:keepNext/>
        <w:keepLines/>
        <w:numPr>
          <w:ilvl w:val="1"/>
          <w:numId w:val="15"/>
        </w:numPr>
        <w:spacing w:after="0" w:line="240" w:lineRule="auto"/>
        <w:ind w:left="532" w:hanging="446"/>
        <w:jc w:val="both"/>
        <w:outlineLvl w:val="0"/>
        <w:rPr>
          <w:rFonts w:ascii="Arial Narrow" w:eastAsiaTheme="majorEastAsia" w:hAnsi="Arial Narrow" w:cstheme="majorBidi"/>
          <w:b/>
          <w:bCs/>
          <w:color w:val="000000" w:themeColor="text1"/>
        </w:rPr>
      </w:pPr>
      <w:r w:rsidRPr="00814C47">
        <w:rPr>
          <w:rFonts w:ascii="Arial Narrow" w:eastAsiaTheme="majorEastAsia" w:hAnsi="Arial Narrow" w:cstheme="majorBidi"/>
          <w:b/>
          <w:bCs/>
          <w:color w:val="000000" w:themeColor="text1"/>
        </w:rPr>
        <w:lastRenderedPageBreak/>
        <w:t xml:space="preserve">Sendero de eficiencia en </w:t>
      </w:r>
      <w:r w:rsidR="004B5DF3">
        <w:rPr>
          <w:rFonts w:ascii="Arial Narrow" w:eastAsiaTheme="majorEastAsia" w:hAnsi="Arial Narrow" w:cstheme="majorBidi"/>
          <w:b/>
          <w:bCs/>
          <w:color w:val="000000" w:themeColor="text1"/>
        </w:rPr>
        <w:t>c</w:t>
      </w:r>
      <w:r w:rsidR="009935D0" w:rsidRPr="00814C47">
        <w:rPr>
          <w:rFonts w:ascii="Arial Narrow" w:eastAsiaTheme="majorEastAsia" w:hAnsi="Arial Narrow" w:cstheme="majorBidi"/>
          <w:b/>
          <w:bCs/>
          <w:color w:val="000000" w:themeColor="text1"/>
        </w:rPr>
        <w:t>ostos de explotación</w:t>
      </w:r>
    </w:p>
    <w:p w:rsidR="009F11A7" w:rsidRPr="00814C47" w:rsidRDefault="009F11A7" w:rsidP="00814C47">
      <w:pPr>
        <w:spacing w:line="240" w:lineRule="auto"/>
        <w:jc w:val="both"/>
        <w:rPr>
          <w:rFonts w:ascii="Arial Narrow" w:hAnsi="Arial Narrow"/>
        </w:rPr>
      </w:pPr>
      <w:r w:rsidRPr="00814C47">
        <w:rPr>
          <w:rFonts w:ascii="Arial Narrow" w:hAnsi="Arial Narrow"/>
        </w:rPr>
        <w:t>Para analizar la eficiencia en la operación y desarrollo de las actividades de Distribución de energía eléctrica se recurrió a</w:t>
      </w:r>
      <w:r w:rsidR="00926E7E">
        <w:rPr>
          <w:rFonts w:ascii="Arial Narrow" w:hAnsi="Arial Narrow"/>
        </w:rPr>
        <w:t xml:space="preserve"> la </w:t>
      </w:r>
      <w:r w:rsidRPr="00814C47">
        <w:rPr>
          <w:rFonts w:ascii="Arial Narrow" w:hAnsi="Arial Narrow"/>
        </w:rPr>
        <w:t>técnica de Frontera de Eficiencia. Las fronteras de eficiencia posibilitan calcular o estimar puntuaciones de eficiencia para</w:t>
      </w:r>
      <w:r w:rsidR="004B5DF3">
        <w:rPr>
          <w:rFonts w:ascii="Arial Narrow" w:hAnsi="Arial Narrow"/>
        </w:rPr>
        <w:t xml:space="preserve"> cada unidad de análisis en este caso divisiones de distribución</w:t>
      </w:r>
      <w:r w:rsidRPr="00814C47">
        <w:rPr>
          <w:rFonts w:ascii="Arial Narrow" w:hAnsi="Arial Narrow"/>
        </w:rPr>
        <w:t>, permitiendo así identificar la posición relativa de cada zona dentro del universo analizado.</w:t>
      </w:r>
    </w:p>
    <w:p w:rsidR="00875F5F" w:rsidRPr="00814C47" w:rsidRDefault="009F11A7" w:rsidP="00814C47">
      <w:pPr>
        <w:kinsoku w:val="0"/>
        <w:overflowPunct w:val="0"/>
        <w:spacing w:line="240" w:lineRule="auto"/>
        <w:contextualSpacing/>
        <w:jc w:val="both"/>
        <w:textAlignment w:val="baseline"/>
        <w:rPr>
          <w:rFonts w:ascii="Arial Narrow" w:eastAsiaTheme="minorEastAsia" w:hAnsi="Arial Narrow" w:cs="Helvetica"/>
          <w:color w:val="262626"/>
          <w:lang w:val="es-AR"/>
        </w:rPr>
      </w:pPr>
      <w:r w:rsidRPr="00814C47">
        <w:rPr>
          <w:rFonts w:ascii="Arial Narrow" w:hAnsi="Arial Narrow"/>
        </w:rPr>
        <w:t>La principal ventaja de las técnicas de frontera es que permiten la comparación del desempeño de diferentes unidades de análisis al resumir las distintas dimensiones e</w:t>
      </w:r>
      <w:r w:rsidR="004B5DF3">
        <w:rPr>
          <w:rFonts w:ascii="Arial Narrow" w:hAnsi="Arial Narrow"/>
        </w:rPr>
        <w:t xml:space="preserve">n un único índice de eficiencia. </w:t>
      </w:r>
      <w:r w:rsidRPr="00814C47">
        <w:rPr>
          <w:rFonts w:ascii="Arial Narrow" w:eastAsiaTheme="minorEastAsia" w:hAnsi="Arial Narrow" w:cs="Helvetica"/>
          <w:color w:val="262626"/>
          <w:lang w:val="es-AR"/>
        </w:rPr>
        <w:t>Uti</w:t>
      </w:r>
      <w:r w:rsidR="004B5DF3">
        <w:rPr>
          <w:rFonts w:ascii="Arial Narrow" w:eastAsiaTheme="minorEastAsia" w:hAnsi="Arial Narrow" w:cs="Helvetica"/>
          <w:color w:val="262626"/>
          <w:lang w:val="es-AR"/>
        </w:rPr>
        <w:t>l</w:t>
      </w:r>
      <w:r w:rsidRPr="00814C47">
        <w:rPr>
          <w:rFonts w:ascii="Arial Narrow" w:eastAsiaTheme="minorEastAsia" w:hAnsi="Arial Narrow" w:cs="Helvetica"/>
          <w:color w:val="262626"/>
          <w:lang w:val="es-AR"/>
        </w:rPr>
        <w:t xml:space="preserve">izando esta técnica, se realizó un análisis de eficiencia relativa para determinar las metas de eficiencia, considerando un análisis de </w:t>
      </w:r>
      <w:r w:rsidRPr="00814C47">
        <w:rPr>
          <w:rFonts w:ascii="Arial Narrow" w:eastAsiaTheme="minorEastAsia" w:hAnsi="Arial Narrow" w:cs="Helvetica"/>
          <w:i/>
          <w:iCs/>
          <w:color w:val="262626"/>
          <w:lang w:val="es-AR"/>
        </w:rPr>
        <w:t>benchmarking</w:t>
      </w:r>
      <w:r w:rsidRPr="00814C47">
        <w:rPr>
          <w:rFonts w:ascii="Arial Narrow" w:eastAsiaTheme="minorEastAsia" w:hAnsi="Arial Narrow" w:cs="Helvetica"/>
          <w:color w:val="262626"/>
          <w:lang w:val="es-AR"/>
        </w:rPr>
        <w:t xml:space="preserve"> interno (152 Zonas de Distribución actuales de CFE).</w:t>
      </w:r>
      <w:r w:rsidR="00875F5F" w:rsidRPr="00814C47">
        <w:rPr>
          <w:rFonts w:ascii="Arial Narrow" w:eastAsiaTheme="minorEastAsia" w:hAnsi="Arial Narrow" w:cs="Helvetica"/>
          <w:color w:val="262626"/>
          <w:lang w:val="es-AR"/>
        </w:rPr>
        <w:t xml:space="preserve"> A continuación se describe </w:t>
      </w:r>
      <w:r w:rsidR="004B5DF3">
        <w:rPr>
          <w:rFonts w:ascii="Arial Narrow" w:eastAsiaTheme="minorEastAsia" w:hAnsi="Arial Narrow" w:cs="Helvetica"/>
          <w:color w:val="262626"/>
          <w:lang w:val="es-AR"/>
        </w:rPr>
        <w:t>a detalle la metodología usada</w:t>
      </w:r>
      <w:r w:rsidR="00BD2E2F" w:rsidRPr="00814C47">
        <w:rPr>
          <w:rFonts w:ascii="Arial Narrow" w:eastAsiaTheme="minorEastAsia" w:hAnsi="Arial Narrow" w:cs="Helvetica"/>
          <w:color w:val="262626"/>
          <w:lang w:val="es-AR"/>
        </w:rPr>
        <w:t>:</w:t>
      </w:r>
    </w:p>
    <w:p w:rsidR="00875F5F" w:rsidRPr="00814C47" w:rsidRDefault="00875F5F" w:rsidP="00814C47">
      <w:pPr>
        <w:kinsoku w:val="0"/>
        <w:overflowPunct w:val="0"/>
        <w:spacing w:line="240" w:lineRule="auto"/>
        <w:contextualSpacing/>
        <w:jc w:val="both"/>
        <w:textAlignment w:val="baseline"/>
        <w:rPr>
          <w:rFonts w:ascii="Arial Narrow" w:eastAsiaTheme="minorEastAsia" w:hAnsi="Arial Narrow" w:cs="Helvetica"/>
          <w:color w:val="262626"/>
          <w:lang w:val="es-AR"/>
        </w:rPr>
      </w:pPr>
    </w:p>
    <w:p w:rsidR="00875F5F" w:rsidRDefault="00682857" w:rsidP="00814C47">
      <w:pPr>
        <w:kinsoku w:val="0"/>
        <w:overflowPunct w:val="0"/>
        <w:spacing w:line="240" w:lineRule="auto"/>
        <w:contextualSpacing/>
        <w:jc w:val="both"/>
        <w:textAlignment w:val="baseline"/>
        <w:rPr>
          <w:rFonts w:ascii="Arial Narrow" w:eastAsiaTheme="minorEastAsia" w:hAnsi="Arial Narrow" w:cs="Helvetica"/>
          <w:color w:val="262626"/>
          <w:lang w:val="es-AR"/>
        </w:rPr>
      </w:pPr>
      <w:r w:rsidRPr="00814C47">
        <w:rPr>
          <w:rFonts w:ascii="Arial Narrow" w:eastAsiaTheme="minorEastAsia" w:hAnsi="Arial Narrow" w:cs="Helvetica"/>
          <w:color w:val="262626"/>
          <w:lang w:val="es-AR"/>
        </w:rPr>
        <w:t xml:space="preserve">En primer lugar se realizó un </w:t>
      </w:r>
      <w:r w:rsidR="00BD2E2F" w:rsidRPr="00814C47">
        <w:rPr>
          <w:rFonts w:ascii="Arial Narrow" w:eastAsiaTheme="minorEastAsia" w:hAnsi="Arial Narrow" w:cs="Helvetica"/>
          <w:color w:val="262626"/>
          <w:lang w:val="es-AR"/>
        </w:rPr>
        <w:t>Análisis DEA (</w:t>
      </w:r>
      <w:r w:rsidR="00BD2E2F" w:rsidRPr="004B5DF3">
        <w:rPr>
          <w:rFonts w:ascii="Arial Narrow" w:eastAsiaTheme="minorEastAsia" w:hAnsi="Arial Narrow" w:cs="Helvetica"/>
          <w:i/>
          <w:color w:val="262626"/>
          <w:lang w:val="es-AR"/>
        </w:rPr>
        <w:t>Data Development Analysis</w:t>
      </w:r>
      <w:r w:rsidR="00BD2E2F" w:rsidRPr="00814C47">
        <w:rPr>
          <w:rFonts w:ascii="Arial Narrow" w:eastAsiaTheme="minorEastAsia" w:hAnsi="Arial Narrow" w:cs="Helvetica"/>
          <w:color w:val="262626"/>
          <w:lang w:val="es-AR"/>
        </w:rPr>
        <w:t>)</w:t>
      </w:r>
      <w:r w:rsidRPr="00814C47">
        <w:rPr>
          <w:rFonts w:ascii="Arial Narrow" w:eastAsiaTheme="minorEastAsia" w:hAnsi="Arial Narrow" w:cs="Helvetica"/>
          <w:color w:val="262626"/>
          <w:lang w:val="es-AR"/>
        </w:rPr>
        <w:t xml:space="preserve"> para determinar el grado de incidencia de las pérdidas de energía en la eficiencia. Este tipo de modelos</w:t>
      </w:r>
      <w:r w:rsidR="004B5DF3">
        <w:rPr>
          <w:rFonts w:ascii="Arial Narrow" w:eastAsiaTheme="minorEastAsia" w:hAnsi="Arial Narrow" w:cs="Helvetica"/>
          <w:color w:val="262626"/>
          <w:lang w:val="es-AR"/>
        </w:rPr>
        <w:t xml:space="preserve"> </w:t>
      </w:r>
      <w:r w:rsidR="00BD2E2F" w:rsidRPr="00814C47">
        <w:rPr>
          <w:rFonts w:ascii="Arial Narrow" w:eastAsiaTheme="minorEastAsia" w:hAnsi="Arial Narrow" w:cs="Helvetica"/>
          <w:color w:val="262626"/>
          <w:lang w:val="es-AR"/>
        </w:rPr>
        <w:t xml:space="preserve">se basan en la aplicación de técnicas </w:t>
      </w:r>
      <w:r w:rsidRPr="00814C47">
        <w:rPr>
          <w:rFonts w:ascii="Arial Narrow" w:eastAsiaTheme="minorEastAsia" w:hAnsi="Arial Narrow" w:cs="Helvetica"/>
          <w:color w:val="262626"/>
          <w:lang w:val="es-AR"/>
        </w:rPr>
        <w:t>de pro</w:t>
      </w:r>
      <w:r w:rsidR="00BD2E2F" w:rsidRPr="00814C47">
        <w:rPr>
          <w:rFonts w:ascii="Arial Narrow" w:eastAsiaTheme="minorEastAsia" w:hAnsi="Arial Narrow" w:cs="Helvetica"/>
          <w:color w:val="262626"/>
          <w:lang w:val="es-AR"/>
        </w:rPr>
        <w:t>gram</w:t>
      </w:r>
      <w:r w:rsidR="004B5DF3">
        <w:rPr>
          <w:rFonts w:ascii="Arial Narrow" w:eastAsiaTheme="minorEastAsia" w:hAnsi="Arial Narrow" w:cs="Helvetica"/>
          <w:color w:val="262626"/>
          <w:lang w:val="es-AR"/>
        </w:rPr>
        <w:t xml:space="preserve">ación lineal </w:t>
      </w:r>
      <w:r w:rsidR="00BD2E2F" w:rsidRPr="00814C47">
        <w:rPr>
          <w:rFonts w:ascii="Arial Narrow" w:eastAsiaTheme="minorEastAsia" w:hAnsi="Arial Narrow" w:cs="Helvetica"/>
          <w:color w:val="262626"/>
          <w:lang w:val="es-AR"/>
        </w:rPr>
        <w:t>para calcula</w:t>
      </w:r>
      <w:r w:rsidRPr="00814C47">
        <w:rPr>
          <w:rFonts w:ascii="Arial Narrow" w:eastAsiaTheme="minorEastAsia" w:hAnsi="Arial Narrow" w:cs="Helvetica"/>
          <w:color w:val="262626"/>
          <w:lang w:val="es-AR"/>
        </w:rPr>
        <w:t>r</w:t>
      </w:r>
      <w:r w:rsidR="004B5DF3">
        <w:rPr>
          <w:rFonts w:ascii="Arial Narrow" w:eastAsiaTheme="minorEastAsia" w:hAnsi="Arial Narrow" w:cs="Helvetica"/>
          <w:color w:val="262626"/>
          <w:lang w:val="es-AR"/>
        </w:rPr>
        <w:t xml:space="preserve"> las </w:t>
      </w:r>
      <w:r w:rsidR="00BD2E2F" w:rsidRPr="00814C47">
        <w:rPr>
          <w:rFonts w:ascii="Arial Narrow" w:eastAsiaTheme="minorEastAsia" w:hAnsi="Arial Narrow" w:cs="Helvetica"/>
          <w:color w:val="262626"/>
          <w:lang w:val="es-AR"/>
        </w:rPr>
        <w:t xml:space="preserve">divisiones de distribución más eficientes de la muestra. La principal ventaja es que no </w:t>
      </w:r>
      <w:r w:rsidR="00926E7E">
        <w:rPr>
          <w:rFonts w:ascii="Arial Narrow" w:eastAsiaTheme="minorEastAsia" w:hAnsi="Arial Narrow" w:cs="Helvetica"/>
          <w:color w:val="262626"/>
          <w:lang w:val="es-AR"/>
        </w:rPr>
        <w:t xml:space="preserve">se </w:t>
      </w:r>
      <w:r w:rsidR="00BD2E2F" w:rsidRPr="00814C47">
        <w:rPr>
          <w:rFonts w:ascii="Arial Narrow" w:eastAsiaTheme="minorEastAsia" w:hAnsi="Arial Narrow" w:cs="Helvetica"/>
          <w:color w:val="262626"/>
          <w:lang w:val="es-AR"/>
        </w:rPr>
        <w:t>requ</w:t>
      </w:r>
      <w:r w:rsidR="00926E7E">
        <w:rPr>
          <w:rFonts w:ascii="Arial Narrow" w:eastAsiaTheme="minorEastAsia" w:hAnsi="Arial Narrow" w:cs="Helvetica"/>
          <w:color w:val="262626"/>
          <w:lang w:val="es-AR"/>
        </w:rPr>
        <w:t>iere</w:t>
      </w:r>
      <w:r w:rsidR="003837E4">
        <w:rPr>
          <w:rFonts w:ascii="Arial Narrow" w:eastAsiaTheme="minorEastAsia" w:hAnsi="Arial Narrow" w:cs="Helvetica"/>
          <w:color w:val="262626"/>
          <w:lang w:val="es-AR"/>
        </w:rPr>
        <w:t xml:space="preserve"> </w:t>
      </w:r>
      <w:r w:rsidR="00BD2E2F" w:rsidRPr="00814C47">
        <w:rPr>
          <w:rFonts w:ascii="Arial Narrow" w:eastAsiaTheme="minorEastAsia" w:hAnsi="Arial Narrow" w:cs="Helvetica"/>
          <w:color w:val="262626"/>
          <w:lang w:val="es-AR"/>
        </w:rPr>
        <w:t>una especificación funcional esp</w:t>
      </w:r>
      <w:r w:rsidR="003837E4">
        <w:rPr>
          <w:rFonts w:ascii="Arial Narrow" w:eastAsiaTheme="minorEastAsia" w:hAnsi="Arial Narrow" w:cs="Helvetica"/>
          <w:color w:val="262626"/>
          <w:lang w:val="es-AR"/>
        </w:rPr>
        <w:t>ecífica</w:t>
      </w:r>
      <w:r w:rsidR="00926E7E">
        <w:rPr>
          <w:rFonts w:ascii="Arial Narrow" w:eastAsiaTheme="minorEastAsia" w:hAnsi="Arial Narrow" w:cs="Helvetica"/>
          <w:color w:val="262626"/>
          <w:lang w:val="es-AR"/>
        </w:rPr>
        <w:t>;</w:t>
      </w:r>
      <w:r w:rsidR="003837E4">
        <w:rPr>
          <w:rFonts w:ascii="Arial Narrow" w:eastAsiaTheme="minorEastAsia" w:hAnsi="Arial Narrow" w:cs="Helvetica"/>
          <w:color w:val="262626"/>
          <w:lang w:val="es-AR"/>
        </w:rPr>
        <w:t xml:space="preserve"> sin embargo, </w:t>
      </w:r>
      <w:r w:rsidR="00BD2E2F" w:rsidRPr="00814C47">
        <w:rPr>
          <w:rFonts w:ascii="Arial Narrow" w:eastAsiaTheme="minorEastAsia" w:hAnsi="Arial Narrow" w:cs="Helvetica"/>
          <w:color w:val="262626"/>
          <w:lang w:val="es-AR"/>
        </w:rPr>
        <w:t>la des</w:t>
      </w:r>
      <w:r w:rsidR="003837E4">
        <w:rPr>
          <w:rFonts w:ascii="Arial Narrow" w:eastAsiaTheme="minorEastAsia" w:hAnsi="Arial Narrow" w:cs="Helvetica"/>
          <w:color w:val="262626"/>
          <w:lang w:val="es-AR"/>
        </w:rPr>
        <w:t xml:space="preserve">ventaja es que toda diferencia </w:t>
      </w:r>
      <w:r w:rsidR="00BD2E2F" w:rsidRPr="00814C47">
        <w:rPr>
          <w:rFonts w:ascii="Arial Narrow" w:eastAsiaTheme="minorEastAsia" w:hAnsi="Arial Narrow" w:cs="Helvetica"/>
          <w:color w:val="262626"/>
          <w:lang w:val="es-AR"/>
        </w:rPr>
        <w:t>con la división que representa el mejor desempeño es considerada como ineficiencia si</w:t>
      </w:r>
      <w:r w:rsidR="003837E4">
        <w:rPr>
          <w:rFonts w:ascii="Arial Narrow" w:eastAsiaTheme="minorEastAsia" w:hAnsi="Arial Narrow" w:cs="Helvetica"/>
          <w:color w:val="262626"/>
          <w:lang w:val="es-AR"/>
        </w:rPr>
        <w:t>e</w:t>
      </w:r>
      <w:r w:rsidR="00BD2E2F" w:rsidRPr="00814C47">
        <w:rPr>
          <w:rFonts w:ascii="Arial Narrow" w:eastAsiaTheme="minorEastAsia" w:hAnsi="Arial Narrow" w:cs="Helvetica"/>
          <w:color w:val="262626"/>
          <w:lang w:val="es-AR"/>
        </w:rPr>
        <w:t>ndo que en oca</w:t>
      </w:r>
      <w:r w:rsidR="003837E4">
        <w:rPr>
          <w:rFonts w:ascii="Arial Narrow" w:eastAsiaTheme="minorEastAsia" w:hAnsi="Arial Narrow" w:cs="Helvetica"/>
          <w:color w:val="262626"/>
          <w:lang w:val="es-AR"/>
        </w:rPr>
        <w:t xml:space="preserve">siones puede ser producto de la </w:t>
      </w:r>
      <w:r w:rsidR="00BD2E2F" w:rsidRPr="00814C47">
        <w:rPr>
          <w:rFonts w:ascii="Arial Narrow" w:eastAsiaTheme="minorEastAsia" w:hAnsi="Arial Narrow" w:cs="Helvetica"/>
          <w:color w:val="262626"/>
          <w:lang w:val="es-AR"/>
        </w:rPr>
        <w:t>incapacidad del modelo de explicar el comportamiento de los cost</w:t>
      </w:r>
      <w:r w:rsidR="003837E4">
        <w:rPr>
          <w:rFonts w:ascii="Arial Narrow" w:eastAsiaTheme="minorEastAsia" w:hAnsi="Arial Narrow" w:cs="Helvetica"/>
          <w:color w:val="262626"/>
          <w:lang w:val="es-AR"/>
        </w:rPr>
        <w:t>os correctamente.</w:t>
      </w:r>
    </w:p>
    <w:p w:rsidR="003837E4" w:rsidRDefault="003837E4" w:rsidP="00814C47">
      <w:pPr>
        <w:kinsoku w:val="0"/>
        <w:overflowPunct w:val="0"/>
        <w:spacing w:line="240" w:lineRule="auto"/>
        <w:contextualSpacing/>
        <w:jc w:val="both"/>
        <w:textAlignment w:val="baseline"/>
        <w:rPr>
          <w:rFonts w:ascii="Arial Narrow" w:eastAsiaTheme="minorEastAsia" w:hAnsi="Arial Narrow" w:cs="Helvetica"/>
          <w:color w:val="262626"/>
          <w:lang w:val="es-AR"/>
        </w:rPr>
      </w:pPr>
    </w:p>
    <w:p w:rsidR="00875F5F" w:rsidRPr="00814C47" w:rsidRDefault="00682857" w:rsidP="00814C47">
      <w:pPr>
        <w:kinsoku w:val="0"/>
        <w:overflowPunct w:val="0"/>
        <w:spacing w:line="240" w:lineRule="auto"/>
        <w:contextualSpacing/>
        <w:jc w:val="both"/>
        <w:textAlignment w:val="baseline"/>
        <w:rPr>
          <w:rFonts w:ascii="Arial Narrow" w:eastAsiaTheme="minorEastAsia" w:hAnsi="Arial Narrow" w:cs="Helvetica"/>
          <w:color w:val="262626"/>
          <w:lang w:val="es-AR"/>
        </w:rPr>
      </w:pPr>
      <w:r w:rsidRPr="00814C47">
        <w:rPr>
          <w:rFonts w:ascii="Arial Narrow" w:eastAsiaTheme="minorEastAsia" w:hAnsi="Arial Narrow" w:cs="Helvetica"/>
          <w:color w:val="262626"/>
          <w:lang w:val="es-AR"/>
        </w:rPr>
        <w:t>Una vez determinado el grado de incidencia de las pérdidas en la eficiencia de las divisiones</w:t>
      </w:r>
      <w:r w:rsidR="003837E4">
        <w:rPr>
          <w:rFonts w:ascii="Arial Narrow" w:eastAsiaTheme="minorEastAsia" w:hAnsi="Arial Narrow" w:cs="Helvetica"/>
          <w:color w:val="262626"/>
          <w:lang w:val="es-AR"/>
        </w:rPr>
        <w:t xml:space="preserve"> de distribución, se procedió a </w:t>
      </w:r>
      <w:r w:rsidRPr="00814C47">
        <w:rPr>
          <w:rFonts w:ascii="Arial Narrow" w:eastAsiaTheme="minorEastAsia" w:hAnsi="Arial Narrow" w:cs="Helvetica"/>
          <w:color w:val="262626"/>
          <w:lang w:val="es-AR"/>
        </w:rPr>
        <w:t xml:space="preserve">estimar un modelo </w:t>
      </w:r>
      <w:r w:rsidR="003837E4" w:rsidRPr="00814C47">
        <w:rPr>
          <w:rFonts w:ascii="Arial Narrow" w:eastAsiaTheme="minorEastAsia" w:hAnsi="Arial Narrow" w:cs="Helvetica"/>
          <w:color w:val="262626"/>
          <w:lang w:val="es-AR"/>
        </w:rPr>
        <w:t>paramétrico</w:t>
      </w:r>
      <w:r w:rsidRPr="00814C47">
        <w:rPr>
          <w:rFonts w:ascii="Arial Narrow" w:eastAsiaTheme="minorEastAsia" w:hAnsi="Arial Narrow" w:cs="Helvetica"/>
          <w:color w:val="262626"/>
          <w:lang w:val="es-AR"/>
        </w:rPr>
        <w:t xml:space="preserve"> para identificar la forma funcional correc</w:t>
      </w:r>
      <w:r w:rsidR="003837E4">
        <w:rPr>
          <w:rFonts w:ascii="Arial Narrow" w:eastAsiaTheme="minorEastAsia" w:hAnsi="Arial Narrow" w:cs="Helvetica"/>
          <w:color w:val="262626"/>
          <w:lang w:val="es-AR"/>
        </w:rPr>
        <w:t>ta de la frontera de eficiencia.</w:t>
      </w:r>
      <w:r w:rsidR="007B598C" w:rsidRPr="00814C47">
        <w:rPr>
          <w:rFonts w:ascii="Arial Narrow" w:eastAsiaTheme="minorEastAsia" w:hAnsi="Arial Narrow" w:cs="Helvetica"/>
          <w:color w:val="262626"/>
          <w:lang w:val="es-AR"/>
        </w:rPr>
        <w:t xml:space="preserve"> La forma funcional de la frontera se estimó </w:t>
      </w:r>
      <w:r w:rsidR="007B598C" w:rsidRPr="00814C47">
        <w:rPr>
          <w:rFonts w:ascii="Arial Narrow" w:hAnsi="Arial Narrow"/>
        </w:rPr>
        <w:t xml:space="preserve">bajo la metodología COLS que consiste en la aplicación de regresiones de Mínimos Cuadrados Ordinarios donde el intercepto es corregido o </w:t>
      </w:r>
      <w:r w:rsidR="003837E4">
        <w:rPr>
          <w:rFonts w:ascii="Arial Narrow" w:hAnsi="Arial Narrow"/>
        </w:rPr>
        <w:t>desplazado hacia el punto que corresponde a</w:t>
      </w:r>
      <w:r w:rsidR="007B598C" w:rsidRPr="00814C47">
        <w:rPr>
          <w:rFonts w:ascii="Arial Narrow" w:hAnsi="Arial Narrow"/>
        </w:rPr>
        <w:t xml:space="preserve"> la empresa más eficiente en relación a la media. </w:t>
      </w:r>
      <w:r w:rsidR="00D737F1" w:rsidRPr="00814C47">
        <w:rPr>
          <w:rFonts w:ascii="Arial Narrow" w:eastAsiaTheme="minorEastAsia" w:hAnsi="Arial Narrow" w:cs="Helvetica"/>
          <w:color w:val="262626"/>
          <w:lang w:val="es-AR"/>
        </w:rPr>
        <w:t>Definiendo u</w:t>
      </w:r>
      <w:r w:rsidR="003837E4">
        <w:rPr>
          <w:rFonts w:ascii="Arial Narrow" w:eastAsiaTheme="minorEastAsia" w:hAnsi="Arial Narrow" w:cs="Helvetica"/>
          <w:color w:val="262626"/>
          <w:lang w:val="es-AR"/>
        </w:rPr>
        <w:t>na función cuyos insumos son los</w:t>
      </w:r>
      <w:r w:rsidR="00D737F1" w:rsidRPr="00814C47">
        <w:rPr>
          <w:rFonts w:ascii="Arial Narrow" w:eastAsiaTheme="minorEastAsia" w:hAnsi="Arial Narrow" w:cs="Helvetica"/>
          <w:color w:val="262626"/>
          <w:lang w:val="es-AR"/>
        </w:rPr>
        <w:t xml:space="preserve"> costos de explotación y las p</w:t>
      </w:r>
      <w:r w:rsidR="00926E7E">
        <w:rPr>
          <w:rFonts w:ascii="Arial Narrow" w:eastAsiaTheme="minorEastAsia" w:hAnsi="Arial Narrow" w:cs="Helvetica"/>
          <w:color w:val="262626"/>
          <w:lang w:val="es-AR"/>
        </w:rPr>
        <w:t>é</w:t>
      </w:r>
      <w:r w:rsidR="00D737F1" w:rsidRPr="00814C47">
        <w:rPr>
          <w:rFonts w:ascii="Arial Narrow" w:eastAsiaTheme="minorEastAsia" w:hAnsi="Arial Narrow" w:cs="Helvetica"/>
          <w:color w:val="262626"/>
          <w:lang w:val="es-AR"/>
        </w:rPr>
        <w:t>rdidas y variable dependiente la cantidad de clientes y energía vendida</w:t>
      </w:r>
      <w:r w:rsidR="00926E7E">
        <w:rPr>
          <w:rFonts w:ascii="Arial Narrow" w:eastAsiaTheme="minorEastAsia" w:hAnsi="Arial Narrow" w:cs="Helvetica"/>
          <w:color w:val="262626"/>
          <w:lang w:val="es-AR"/>
        </w:rPr>
        <w:t>.</w:t>
      </w:r>
      <w:r w:rsidR="007B598C" w:rsidRPr="00814C47">
        <w:rPr>
          <w:rFonts w:ascii="Arial Narrow" w:hAnsi="Arial Narrow"/>
        </w:rPr>
        <w:t xml:space="preserve"> Finalmente, una vez definida </w:t>
      </w:r>
      <w:r w:rsidR="00926E7E">
        <w:rPr>
          <w:rFonts w:ascii="Arial Narrow" w:hAnsi="Arial Narrow"/>
        </w:rPr>
        <w:t xml:space="preserve">la </w:t>
      </w:r>
      <w:r w:rsidR="007B598C" w:rsidRPr="00814C47">
        <w:rPr>
          <w:rFonts w:ascii="Arial Narrow" w:hAnsi="Arial Narrow"/>
        </w:rPr>
        <w:t xml:space="preserve">forma funcional de </w:t>
      </w:r>
      <w:r w:rsidR="00D737F1" w:rsidRPr="00814C47">
        <w:rPr>
          <w:rFonts w:ascii="Arial Narrow" w:hAnsi="Arial Narrow"/>
        </w:rPr>
        <w:t>la frontera de eficiencia se us</w:t>
      </w:r>
      <w:r w:rsidR="00926E7E">
        <w:rPr>
          <w:rFonts w:ascii="Arial Narrow" w:hAnsi="Arial Narrow"/>
        </w:rPr>
        <w:t>ó</w:t>
      </w:r>
      <w:r w:rsidR="007B598C" w:rsidRPr="00814C47">
        <w:rPr>
          <w:rFonts w:ascii="Arial Narrow" w:eastAsiaTheme="minorEastAsia" w:hAnsi="Arial Narrow" w:cs="Helvetica"/>
          <w:color w:val="262626"/>
          <w:lang w:val="es-AR"/>
        </w:rPr>
        <w:t xml:space="preserve"> una téc</w:t>
      </w:r>
      <w:r w:rsidR="003837E4">
        <w:rPr>
          <w:rFonts w:ascii="Arial Narrow" w:eastAsiaTheme="minorEastAsia" w:hAnsi="Arial Narrow" w:cs="Helvetica"/>
          <w:color w:val="262626"/>
          <w:lang w:val="es-AR"/>
        </w:rPr>
        <w:t xml:space="preserve">nica de fronteras estocásticas (SFA) </w:t>
      </w:r>
      <w:r w:rsidR="007B598C" w:rsidRPr="00814C47">
        <w:rPr>
          <w:rFonts w:ascii="Arial Narrow" w:eastAsiaTheme="minorEastAsia" w:hAnsi="Arial Narrow" w:cs="Helvetica"/>
          <w:color w:val="262626"/>
          <w:lang w:val="es-AR"/>
        </w:rPr>
        <w:t>que a diferencia de técnicas DEA permite separar niveles de eficiencia de otros factores como el clima o eventos aleatorios.</w:t>
      </w:r>
    </w:p>
    <w:p w:rsidR="00875F5F" w:rsidRPr="00814C47" w:rsidRDefault="00875F5F" w:rsidP="00814C47">
      <w:pPr>
        <w:kinsoku w:val="0"/>
        <w:overflowPunct w:val="0"/>
        <w:spacing w:line="240" w:lineRule="auto"/>
        <w:contextualSpacing/>
        <w:jc w:val="both"/>
        <w:textAlignment w:val="baseline"/>
        <w:rPr>
          <w:rFonts w:ascii="Arial Narrow" w:eastAsiaTheme="minorEastAsia" w:hAnsi="Arial Narrow" w:cs="Helvetica"/>
          <w:color w:val="262626"/>
          <w:lang w:val="es-AR"/>
        </w:rPr>
      </w:pPr>
    </w:p>
    <w:p w:rsidR="003837E4" w:rsidRDefault="00875F5F" w:rsidP="00F94EF8">
      <w:pPr>
        <w:spacing w:line="240" w:lineRule="auto"/>
        <w:jc w:val="both"/>
        <w:rPr>
          <w:rFonts w:ascii="Arial Narrow" w:hAnsi="Arial Narrow"/>
        </w:rPr>
      </w:pPr>
      <w:r w:rsidRPr="00814C47">
        <w:rPr>
          <w:rFonts w:ascii="Arial Narrow" w:hAnsi="Arial Narrow"/>
        </w:rPr>
        <w:t>La siguiente tabla muestra la eficiencia estimada para cada división de distribución</w:t>
      </w:r>
      <w:r w:rsidR="00E01A2F" w:rsidRPr="00814C47">
        <w:rPr>
          <w:rFonts w:ascii="Arial Narrow" w:hAnsi="Arial Narrow"/>
        </w:rPr>
        <w:t xml:space="preserve">, donde </w:t>
      </w:r>
      <w:r w:rsidRPr="00814C47">
        <w:rPr>
          <w:rFonts w:ascii="Arial Narrow" w:hAnsi="Arial Narrow"/>
        </w:rPr>
        <w:t>un valor cercano a uno implica una división más eficiente mientras que las divisiones con valores bajos resu</w:t>
      </w:r>
      <w:r w:rsidR="00E01A2F" w:rsidRPr="00814C47">
        <w:rPr>
          <w:rFonts w:ascii="Arial Narrow" w:hAnsi="Arial Narrow"/>
        </w:rPr>
        <w:t>l</w:t>
      </w:r>
      <w:r w:rsidRPr="00814C47">
        <w:rPr>
          <w:rFonts w:ascii="Arial Narrow" w:hAnsi="Arial Narrow"/>
        </w:rPr>
        <w:t xml:space="preserve">taron ser las </w:t>
      </w:r>
      <w:r w:rsidR="003837E4" w:rsidRPr="00814C47">
        <w:rPr>
          <w:rFonts w:ascii="Arial Narrow" w:hAnsi="Arial Narrow"/>
        </w:rPr>
        <w:t>más</w:t>
      </w:r>
      <w:r w:rsidRPr="00814C47">
        <w:rPr>
          <w:rFonts w:ascii="Arial Narrow" w:hAnsi="Arial Narrow"/>
        </w:rPr>
        <w:t xml:space="preserve"> ineficientes. Ad</w:t>
      </w:r>
      <w:r w:rsidR="003837E4">
        <w:rPr>
          <w:rFonts w:ascii="Arial Narrow" w:hAnsi="Arial Narrow"/>
        </w:rPr>
        <w:t xml:space="preserve">icionalmente, la tabla muestra </w:t>
      </w:r>
      <w:r w:rsidRPr="00814C47">
        <w:rPr>
          <w:rFonts w:ascii="Arial Narrow" w:hAnsi="Arial Narrow"/>
        </w:rPr>
        <w:t>el valor de eficiencia mediante técnicas DEA y técnicas</w:t>
      </w:r>
      <w:r w:rsidR="003837E4">
        <w:rPr>
          <w:rFonts w:ascii="Arial Narrow" w:hAnsi="Arial Narrow"/>
        </w:rPr>
        <w:t xml:space="preserve"> SFA.</w:t>
      </w:r>
      <w:r w:rsidRPr="00814C47">
        <w:rPr>
          <w:rFonts w:ascii="Arial Narrow" w:hAnsi="Arial Narrow"/>
        </w:rPr>
        <w:t xml:space="preserve"> Como podemos observar, la eficiencia media según la estimación DEA es 59%, en tanto que según las técnicas de SFA dicha eficie</w:t>
      </w:r>
      <w:r w:rsidR="003837E4">
        <w:rPr>
          <w:rFonts w:ascii="Arial Narrow" w:hAnsi="Arial Narrow"/>
        </w:rPr>
        <w:t>ncia promedio simple es 67%. L</w:t>
      </w:r>
      <w:r w:rsidRPr="00814C47">
        <w:rPr>
          <w:rFonts w:ascii="Arial Narrow" w:hAnsi="Arial Narrow"/>
        </w:rPr>
        <w:t>a diferencia entre ambos valores está en parte explicada por el hecho que la SFA considera que parte de la diferencia entre las observaciones es aleatori</w:t>
      </w:r>
      <w:r w:rsidR="003837E4">
        <w:rPr>
          <w:rFonts w:ascii="Arial Narrow" w:hAnsi="Arial Narrow"/>
        </w:rPr>
        <w:t xml:space="preserve">a, por lo que </w:t>
      </w:r>
      <w:r w:rsidRPr="00814C47">
        <w:rPr>
          <w:rFonts w:ascii="Arial Narrow" w:hAnsi="Arial Narrow"/>
        </w:rPr>
        <w:t>consecuentemente la inefic</w:t>
      </w:r>
      <w:r w:rsidR="008B3DEF" w:rsidRPr="00814C47">
        <w:rPr>
          <w:rFonts w:ascii="Arial Narrow" w:hAnsi="Arial Narrow"/>
        </w:rPr>
        <w:t>iencia de las</w:t>
      </w:r>
      <w:r w:rsidR="00E01A2F" w:rsidRPr="00814C47">
        <w:rPr>
          <w:rFonts w:ascii="Arial Narrow" w:hAnsi="Arial Narrow"/>
        </w:rPr>
        <w:t xml:space="preserve"> unidades es menor (cercana a 1</w:t>
      </w:r>
      <w:r w:rsidR="008B3DEF" w:rsidRPr="00814C47">
        <w:rPr>
          <w:rFonts w:ascii="Arial Narrow" w:hAnsi="Arial Narrow"/>
        </w:rPr>
        <w:t>).</w:t>
      </w:r>
    </w:p>
    <w:p w:rsidR="00926E7E" w:rsidRDefault="00926E7E" w:rsidP="00F94EF8">
      <w:pPr>
        <w:spacing w:line="240" w:lineRule="auto"/>
        <w:jc w:val="both"/>
        <w:rPr>
          <w:rFonts w:ascii="Arial Narrow" w:hAnsi="Arial Narrow"/>
        </w:rPr>
      </w:pPr>
    </w:p>
    <w:p w:rsidR="00926E7E" w:rsidRDefault="00926E7E" w:rsidP="00F94EF8">
      <w:pPr>
        <w:spacing w:line="240" w:lineRule="auto"/>
        <w:jc w:val="both"/>
        <w:rPr>
          <w:rFonts w:ascii="Arial Narrow" w:hAnsi="Arial Narrow"/>
        </w:rPr>
      </w:pPr>
    </w:p>
    <w:p w:rsidR="00926E7E" w:rsidRDefault="00926E7E" w:rsidP="00F94EF8">
      <w:pPr>
        <w:spacing w:line="240" w:lineRule="auto"/>
        <w:jc w:val="both"/>
        <w:rPr>
          <w:rFonts w:ascii="Arial Narrow" w:hAnsi="Arial Narrow"/>
        </w:rPr>
      </w:pPr>
    </w:p>
    <w:p w:rsidR="00926E7E" w:rsidRDefault="00926E7E" w:rsidP="00F94EF8">
      <w:pPr>
        <w:spacing w:line="240" w:lineRule="auto"/>
        <w:jc w:val="both"/>
        <w:rPr>
          <w:rFonts w:ascii="Arial Narrow" w:hAnsi="Arial Narrow"/>
        </w:rPr>
      </w:pPr>
    </w:p>
    <w:p w:rsidR="00926E7E" w:rsidRDefault="00926E7E" w:rsidP="00F94EF8">
      <w:pPr>
        <w:spacing w:line="240" w:lineRule="auto"/>
        <w:jc w:val="both"/>
        <w:rPr>
          <w:rFonts w:ascii="Arial Narrow" w:hAnsi="Arial Narrow"/>
        </w:rPr>
      </w:pPr>
    </w:p>
    <w:p w:rsidR="00926E7E" w:rsidRDefault="00926E7E" w:rsidP="00F94EF8">
      <w:pPr>
        <w:spacing w:line="240" w:lineRule="auto"/>
        <w:jc w:val="both"/>
        <w:rPr>
          <w:rFonts w:ascii="Arial Narrow" w:hAnsi="Arial Narrow"/>
        </w:rPr>
      </w:pPr>
    </w:p>
    <w:p w:rsidR="00926E7E" w:rsidRDefault="00926E7E" w:rsidP="00F94EF8">
      <w:pPr>
        <w:spacing w:line="240" w:lineRule="auto"/>
        <w:jc w:val="both"/>
        <w:rPr>
          <w:rFonts w:ascii="Arial Narrow" w:hAnsi="Arial Narrow"/>
        </w:rPr>
      </w:pPr>
    </w:p>
    <w:p w:rsidR="00926E7E" w:rsidRDefault="00926E7E" w:rsidP="00F94EF8">
      <w:pPr>
        <w:spacing w:line="240" w:lineRule="auto"/>
        <w:jc w:val="both"/>
        <w:rPr>
          <w:rFonts w:ascii="Arial Narrow" w:hAnsi="Arial Narrow"/>
        </w:rPr>
      </w:pPr>
    </w:p>
    <w:p w:rsidR="00926E7E" w:rsidRPr="00F94EF8" w:rsidRDefault="00926E7E" w:rsidP="00F94EF8">
      <w:pPr>
        <w:spacing w:line="240" w:lineRule="auto"/>
        <w:jc w:val="both"/>
        <w:rPr>
          <w:rFonts w:ascii="Arial Narrow" w:hAnsi="Arial Narrow"/>
        </w:rPr>
      </w:pPr>
    </w:p>
    <w:p w:rsidR="00875F5F" w:rsidRPr="008F66CD" w:rsidRDefault="00875F5F" w:rsidP="00E1024E">
      <w:pPr>
        <w:pStyle w:val="Descripcin"/>
        <w:spacing w:after="120"/>
        <w:jc w:val="center"/>
        <w:rPr>
          <w:sz w:val="20"/>
          <w:szCs w:val="20"/>
        </w:rPr>
      </w:pPr>
      <w:r w:rsidRPr="008F66CD">
        <w:rPr>
          <w:sz w:val="20"/>
          <w:szCs w:val="20"/>
        </w:rPr>
        <w:lastRenderedPageBreak/>
        <w:t xml:space="preserve">Tabla </w:t>
      </w:r>
      <w:r w:rsidRPr="008F66CD">
        <w:rPr>
          <w:sz w:val="20"/>
          <w:szCs w:val="20"/>
        </w:rPr>
        <w:fldChar w:fldCharType="begin"/>
      </w:r>
      <w:r w:rsidRPr="008F66CD">
        <w:rPr>
          <w:sz w:val="20"/>
          <w:szCs w:val="20"/>
        </w:rPr>
        <w:instrText xml:space="preserve"> SEQ Tabla \* ARABIC </w:instrText>
      </w:r>
      <w:r w:rsidRPr="008F66CD">
        <w:rPr>
          <w:sz w:val="20"/>
          <w:szCs w:val="20"/>
        </w:rPr>
        <w:fldChar w:fldCharType="separate"/>
      </w:r>
      <w:r w:rsidR="00E1024E">
        <w:rPr>
          <w:noProof/>
          <w:sz w:val="20"/>
          <w:szCs w:val="20"/>
        </w:rPr>
        <w:t>10</w:t>
      </w:r>
      <w:r w:rsidRPr="008F66CD">
        <w:rPr>
          <w:sz w:val="20"/>
          <w:szCs w:val="20"/>
        </w:rPr>
        <w:fldChar w:fldCharType="end"/>
      </w:r>
      <w:r w:rsidRPr="008F66CD">
        <w:rPr>
          <w:sz w:val="20"/>
          <w:szCs w:val="20"/>
        </w:rPr>
        <w:t>. Comparación de indicadores de eficiencia bajo modelo DEA Y SFA</w:t>
      </w:r>
    </w:p>
    <w:tbl>
      <w:tblPr>
        <w:tblW w:w="0" w:type="auto"/>
        <w:jc w:val="center"/>
        <w:tblCellMar>
          <w:left w:w="70" w:type="dxa"/>
          <w:right w:w="70" w:type="dxa"/>
        </w:tblCellMar>
        <w:tblLook w:val="04A0" w:firstRow="1" w:lastRow="0" w:firstColumn="1" w:lastColumn="0" w:noHBand="0" w:noVBand="1"/>
      </w:tblPr>
      <w:tblGrid>
        <w:gridCol w:w="1674"/>
        <w:gridCol w:w="830"/>
        <w:gridCol w:w="830"/>
      </w:tblGrid>
      <w:tr w:rsidR="00E1024E" w:rsidRPr="00F94EF8" w:rsidTr="00E1024E">
        <w:trPr>
          <w:trHeight w:val="207"/>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1F497D" w:themeFill="text2"/>
            <w:vAlign w:val="center"/>
            <w:hideMark/>
          </w:tcPr>
          <w:p w:rsidR="00E1024E" w:rsidRDefault="00E1024E" w:rsidP="00E1024E">
            <w:pPr>
              <w:spacing w:after="0" w:line="240" w:lineRule="auto"/>
              <w:jc w:val="both"/>
              <w:rPr>
                <w:rFonts w:ascii="Arial Narrow" w:eastAsia="Times New Roman" w:hAnsi="Arial Narrow" w:cs="Times New Roman"/>
                <w:b/>
                <w:bCs/>
                <w:color w:val="FFFFFF"/>
                <w:sz w:val="18"/>
                <w:szCs w:val="18"/>
                <w:lang w:eastAsia="es-MX"/>
              </w:rPr>
            </w:pPr>
            <w:r w:rsidRPr="00F94EF8">
              <w:rPr>
                <w:rFonts w:ascii="Arial Narrow" w:eastAsia="Times New Roman" w:hAnsi="Arial Narrow" w:cs="Times New Roman"/>
                <w:b/>
                <w:bCs/>
                <w:color w:val="FFFFFF"/>
                <w:sz w:val="18"/>
                <w:szCs w:val="18"/>
                <w:lang w:eastAsia="es-MX"/>
              </w:rPr>
              <w:t xml:space="preserve">División de </w:t>
            </w:r>
          </w:p>
          <w:p w:rsidR="00E1024E" w:rsidRPr="00F94EF8" w:rsidRDefault="00E1024E" w:rsidP="00E1024E">
            <w:pPr>
              <w:spacing w:after="0" w:line="240" w:lineRule="auto"/>
              <w:jc w:val="both"/>
              <w:rPr>
                <w:rFonts w:ascii="Arial Narrow" w:eastAsia="Times New Roman" w:hAnsi="Arial Narrow" w:cs="Times New Roman"/>
                <w:b/>
                <w:bCs/>
                <w:color w:val="FFFFFF"/>
                <w:sz w:val="18"/>
                <w:szCs w:val="18"/>
                <w:lang w:eastAsia="es-MX"/>
              </w:rPr>
            </w:pPr>
            <w:r w:rsidRPr="00F94EF8">
              <w:rPr>
                <w:rFonts w:ascii="Arial Narrow" w:eastAsia="Times New Roman" w:hAnsi="Arial Narrow" w:cs="Times New Roman"/>
                <w:b/>
                <w:bCs/>
                <w:color w:val="FFFFFF"/>
                <w:sz w:val="18"/>
                <w:szCs w:val="18"/>
                <w:lang w:eastAsia="es-MX"/>
              </w:rPr>
              <w:t>Distribución</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1F497D" w:themeFill="text2"/>
            <w:vAlign w:val="center"/>
            <w:hideMark/>
          </w:tcPr>
          <w:p w:rsidR="00E1024E" w:rsidRDefault="00E1024E" w:rsidP="00E1024E">
            <w:pPr>
              <w:spacing w:after="0" w:line="240" w:lineRule="auto"/>
              <w:jc w:val="both"/>
              <w:rPr>
                <w:rFonts w:ascii="Arial Narrow" w:eastAsia="Times New Roman" w:hAnsi="Arial Narrow" w:cs="Times New Roman"/>
                <w:b/>
                <w:bCs/>
                <w:color w:val="FFFFFF"/>
                <w:sz w:val="18"/>
                <w:szCs w:val="18"/>
                <w:lang w:eastAsia="es-MX"/>
              </w:rPr>
            </w:pPr>
            <w:r w:rsidRPr="00F94EF8">
              <w:rPr>
                <w:rFonts w:ascii="Arial Narrow" w:eastAsia="Times New Roman" w:hAnsi="Arial Narrow" w:cs="Times New Roman"/>
                <w:b/>
                <w:bCs/>
                <w:color w:val="FFFFFF"/>
                <w:sz w:val="18"/>
                <w:szCs w:val="18"/>
                <w:lang w:eastAsia="es-MX"/>
              </w:rPr>
              <w:t xml:space="preserve">Eficiencia </w:t>
            </w:r>
          </w:p>
          <w:p w:rsidR="00E1024E" w:rsidRPr="00F94EF8" w:rsidRDefault="00E1024E" w:rsidP="00E1024E">
            <w:pPr>
              <w:spacing w:after="0" w:line="240" w:lineRule="auto"/>
              <w:jc w:val="both"/>
              <w:rPr>
                <w:rFonts w:ascii="Arial Narrow" w:eastAsia="Times New Roman" w:hAnsi="Arial Narrow" w:cs="Times New Roman"/>
                <w:b/>
                <w:bCs/>
                <w:color w:val="FFFFFF"/>
                <w:sz w:val="18"/>
                <w:szCs w:val="18"/>
                <w:lang w:eastAsia="es-MX"/>
              </w:rPr>
            </w:pPr>
            <w:r w:rsidRPr="00F94EF8">
              <w:rPr>
                <w:rFonts w:ascii="Arial Narrow" w:eastAsia="Times New Roman" w:hAnsi="Arial Narrow" w:cs="Times New Roman"/>
                <w:b/>
                <w:bCs/>
                <w:color w:val="FFFFFF"/>
                <w:sz w:val="18"/>
                <w:szCs w:val="18"/>
                <w:lang w:eastAsia="es-MX"/>
              </w:rPr>
              <w:t>DEA</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1F497D" w:themeFill="text2"/>
            <w:vAlign w:val="center"/>
            <w:hideMark/>
          </w:tcPr>
          <w:p w:rsidR="00E1024E" w:rsidRDefault="00E1024E" w:rsidP="00E1024E">
            <w:pPr>
              <w:spacing w:after="0" w:line="240" w:lineRule="auto"/>
              <w:jc w:val="both"/>
              <w:rPr>
                <w:rFonts w:ascii="Arial Narrow" w:eastAsia="Times New Roman" w:hAnsi="Arial Narrow" w:cs="Times New Roman"/>
                <w:b/>
                <w:bCs/>
                <w:color w:val="FFFFFF"/>
                <w:sz w:val="18"/>
                <w:szCs w:val="18"/>
                <w:lang w:eastAsia="es-MX"/>
              </w:rPr>
            </w:pPr>
            <w:r w:rsidRPr="00F94EF8">
              <w:rPr>
                <w:rFonts w:ascii="Arial Narrow" w:eastAsia="Times New Roman" w:hAnsi="Arial Narrow" w:cs="Times New Roman"/>
                <w:b/>
                <w:bCs/>
                <w:color w:val="FFFFFF"/>
                <w:sz w:val="18"/>
                <w:szCs w:val="18"/>
                <w:lang w:eastAsia="es-MX"/>
              </w:rPr>
              <w:t xml:space="preserve">Eficiencia </w:t>
            </w:r>
          </w:p>
          <w:p w:rsidR="00E1024E" w:rsidRPr="00F94EF8" w:rsidRDefault="00E1024E" w:rsidP="00E1024E">
            <w:pPr>
              <w:spacing w:after="0" w:line="240" w:lineRule="auto"/>
              <w:jc w:val="both"/>
              <w:rPr>
                <w:rFonts w:ascii="Arial Narrow" w:eastAsia="Times New Roman" w:hAnsi="Arial Narrow" w:cs="Times New Roman"/>
                <w:b/>
                <w:bCs/>
                <w:color w:val="FFFFFF"/>
                <w:sz w:val="18"/>
                <w:szCs w:val="18"/>
                <w:lang w:eastAsia="es-MX"/>
              </w:rPr>
            </w:pPr>
            <w:r w:rsidRPr="00F94EF8">
              <w:rPr>
                <w:rFonts w:ascii="Arial Narrow" w:eastAsia="Times New Roman" w:hAnsi="Arial Narrow" w:cs="Times New Roman"/>
                <w:b/>
                <w:bCs/>
                <w:color w:val="FFFFFF"/>
                <w:sz w:val="18"/>
                <w:szCs w:val="18"/>
                <w:lang w:eastAsia="es-MX"/>
              </w:rPr>
              <w:t>SFA</w:t>
            </w:r>
          </w:p>
        </w:tc>
      </w:tr>
      <w:tr w:rsidR="00E1024E" w:rsidRPr="00F94EF8" w:rsidTr="00E1024E">
        <w:trPr>
          <w:trHeight w:val="207"/>
          <w:jc w:val="center"/>
        </w:trPr>
        <w:tc>
          <w:tcPr>
            <w:tcW w:w="0" w:type="auto"/>
            <w:vMerge/>
            <w:tcBorders>
              <w:top w:val="single" w:sz="8" w:space="0" w:color="auto"/>
              <w:left w:val="single" w:sz="8" w:space="0" w:color="auto"/>
              <w:bottom w:val="single" w:sz="8" w:space="0" w:color="000000"/>
              <w:right w:val="single" w:sz="8" w:space="0" w:color="auto"/>
            </w:tcBorders>
            <w:shd w:val="clear" w:color="auto" w:fill="1F497D" w:themeFill="text2"/>
            <w:vAlign w:val="center"/>
            <w:hideMark/>
          </w:tcPr>
          <w:p w:rsidR="00E1024E" w:rsidRPr="00F94EF8" w:rsidRDefault="00E1024E" w:rsidP="00E1024E">
            <w:pPr>
              <w:spacing w:after="0" w:line="240" w:lineRule="auto"/>
              <w:jc w:val="both"/>
              <w:rPr>
                <w:rFonts w:ascii="Arial Narrow" w:eastAsia="Times New Roman" w:hAnsi="Arial Narrow" w:cs="Times New Roman"/>
                <w:b/>
                <w:bCs/>
                <w:color w:val="FFFFFF"/>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shd w:val="clear" w:color="auto" w:fill="1F497D" w:themeFill="text2"/>
            <w:vAlign w:val="center"/>
            <w:hideMark/>
          </w:tcPr>
          <w:p w:rsidR="00E1024E" w:rsidRPr="00F94EF8" w:rsidRDefault="00E1024E" w:rsidP="00E1024E">
            <w:pPr>
              <w:spacing w:after="0" w:line="240" w:lineRule="auto"/>
              <w:jc w:val="both"/>
              <w:rPr>
                <w:rFonts w:ascii="Arial Narrow" w:eastAsia="Times New Roman" w:hAnsi="Arial Narrow" w:cs="Times New Roman"/>
                <w:b/>
                <w:bCs/>
                <w:color w:val="FFFFFF"/>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shd w:val="clear" w:color="auto" w:fill="1F497D" w:themeFill="text2"/>
            <w:vAlign w:val="center"/>
            <w:hideMark/>
          </w:tcPr>
          <w:p w:rsidR="00E1024E" w:rsidRPr="00F94EF8" w:rsidRDefault="00E1024E" w:rsidP="00E1024E">
            <w:pPr>
              <w:spacing w:after="0" w:line="240" w:lineRule="auto"/>
              <w:jc w:val="both"/>
              <w:rPr>
                <w:rFonts w:ascii="Arial Narrow" w:eastAsia="Times New Roman" w:hAnsi="Arial Narrow" w:cs="Times New Roman"/>
                <w:b/>
                <w:bCs/>
                <w:color w:val="FFFFFF"/>
                <w:sz w:val="18"/>
                <w:szCs w:val="18"/>
                <w:lang w:eastAsia="es-MX"/>
              </w:rPr>
            </w:pPr>
          </w:p>
        </w:tc>
      </w:tr>
      <w:tr w:rsidR="00E1024E" w:rsidRPr="00F94EF8" w:rsidTr="00E1024E">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E1024E" w:rsidRPr="00F94EF8" w:rsidRDefault="00E1024E" w:rsidP="00E1024E">
            <w:pPr>
              <w:spacing w:after="0" w:line="240" w:lineRule="auto"/>
              <w:jc w:val="both"/>
              <w:rPr>
                <w:rFonts w:ascii="Arial Narrow" w:eastAsia="Times New Roman" w:hAnsi="Arial Narrow" w:cs="Times New Roman"/>
                <w:sz w:val="18"/>
                <w:szCs w:val="18"/>
                <w:lang w:eastAsia="es-MX"/>
              </w:rPr>
            </w:pPr>
            <w:r w:rsidRPr="00F94EF8">
              <w:rPr>
                <w:rFonts w:ascii="Arial Narrow" w:eastAsia="Times New Roman" w:hAnsi="Arial Narrow" w:cs="Times New Roman"/>
                <w:sz w:val="18"/>
                <w:szCs w:val="18"/>
                <w:lang w:val="es-AR" w:eastAsia="es-MX"/>
              </w:rPr>
              <w:t>BAJA CALIFORNIA</w:t>
            </w:r>
          </w:p>
        </w:tc>
        <w:tc>
          <w:tcPr>
            <w:tcW w:w="0" w:type="auto"/>
            <w:tcBorders>
              <w:top w:val="nil"/>
              <w:left w:val="nil"/>
              <w:bottom w:val="single" w:sz="8" w:space="0" w:color="FFFFFF"/>
              <w:right w:val="single" w:sz="8" w:space="0" w:color="auto"/>
            </w:tcBorders>
            <w:shd w:val="clear" w:color="auto" w:fill="auto"/>
            <w:vAlign w:val="center"/>
            <w:hideMark/>
          </w:tcPr>
          <w:p w:rsidR="00E1024E" w:rsidRPr="00F94EF8" w:rsidRDefault="00E1024E" w:rsidP="00E1024E">
            <w:pPr>
              <w:spacing w:after="0" w:line="240" w:lineRule="auto"/>
              <w:jc w:val="center"/>
              <w:rPr>
                <w:rFonts w:ascii="Arial Narrow" w:eastAsia="Times New Roman" w:hAnsi="Arial Narrow" w:cs="Times New Roman"/>
                <w:sz w:val="18"/>
                <w:szCs w:val="18"/>
                <w:lang w:eastAsia="es-MX"/>
              </w:rPr>
            </w:pPr>
            <w:r w:rsidRPr="00F94EF8">
              <w:rPr>
                <w:rFonts w:ascii="Arial Narrow" w:eastAsia="Times New Roman" w:hAnsi="Arial Narrow" w:cs="Times New Roman"/>
                <w:sz w:val="18"/>
                <w:szCs w:val="18"/>
                <w:lang w:eastAsia="es-MX"/>
              </w:rPr>
              <w:t>0.74</w:t>
            </w:r>
          </w:p>
        </w:tc>
        <w:tc>
          <w:tcPr>
            <w:tcW w:w="0" w:type="auto"/>
            <w:tcBorders>
              <w:top w:val="nil"/>
              <w:left w:val="nil"/>
              <w:bottom w:val="single" w:sz="8" w:space="0" w:color="FFFFFF"/>
              <w:right w:val="single" w:sz="8" w:space="0" w:color="auto"/>
            </w:tcBorders>
            <w:shd w:val="clear" w:color="auto" w:fill="auto"/>
            <w:vAlign w:val="center"/>
            <w:hideMark/>
          </w:tcPr>
          <w:p w:rsidR="00E1024E" w:rsidRPr="00F94EF8" w:rsidRDefault="00E1024E" w:rsidP="00E1024E">
            <w:pPr>
              <w:spacing w:after="0" w:line="240" w:lineRule="auto"/>
              <w:jc w:val="center"/>
              <w:rPr>
                <w:rFonts w:ascii="Arial Narrow" w:eastAsia="Times New Roman" w:hAnsi="Arial Narrow" w:cs="Times New Roman"/>
                <w:sz w:val="18"/>
                <w:szCs w:val="18"/>
                <w:lang w:eastAsia="es-MX"/>
              </w:rPr>
            </w:pPr>
            <w:r w:rsidRPr="00F94EF8">
              <w:rPr>
                <w:rFonts w:ascii="Arial Narrow" w:eastAsia="Times New Roman" w:hAnsi="Arial Narrow" w:cs="Times New Roman"/>
                <w:sz w:val="18"/>
                <w:szCs w:val="18"/>
                <w:lang w:eastAsia="es-MX"/>
              </w:rPr>
              <w:t>0.65</w:t>
            </w:r>
          </w:p>
        </w:tc>
      </w:tr>
      <w:tr w:rsidR="00E1024E" w:rsidRPr="00F94EF8" w:rsidTr="00E1024E">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E1024E" w:rsidRPr="00F94EF8" w:rsidRDefault="00E1024E" w:rsidP="00E1024E">
            <w:pPr>
              <w:spacing w:after="0" w:line="240" w:lineRule="auto"/>
              <w:jc w:val="both"/>
              <w:rPr>
                <w:rFonts w:ascii="Arial Narrow" w:eastAsia="Times New Roman" w:hAnsi="Arial Narrow" w:cs="Times New Roman"/>
                <w:sz w:val="18"/>
                <w:szCs w:val="18"/>
                <w:lang w:eastAsia="es-MX"/>
              </w:rPr>
            </w:pPr>
            <w:r w:rsidRPr="00F94EF8">
              <w:rPr>
                <w:rFonts w:ascii="Arial Narrow" w:eastAsia="Times New Roman" w:hAnsi="Arial Narrow" w:cs="Times New Roman"/>
                <w:sz w:val="18"/>
                <w:szCs w:val="18"/>
                <w:lang w:val="es-AR" w:eastAsia="es-MX"/>
              </w:rPr>
              <w:t>BAJIO</w:t>
            </w:r>
          </w:p>
        </w:tc>
        <w:tc>
          <w:tcPr>
            <w:tcW w:w="0" w:type="auto"/>
            <w:tcBorders>
              <w:top w:val="nil"/>
              <w:left w:val="nil"/>
              <w:bottom w:val="single" w:sz="8" w:space="0" w:color="FFFFFF"/>
              <w:right w:val="single" w:sz="8" w:space="0" w:color="auto"/>
            </w:tcBorders>
            <w:shd w:val="clear" w:color="auto" w:fill="auto"/>
            <w:vAlign w:val="center"/>
            <w:hideMark/>
          </w:tcPr>
          <w:p w:rsidR="00E1024E" w:rsidRPr="00F94EF8" w:rsidRDefault="00E1024E" w:rsidP="00E1024E">
            <w:pPr>
              <w:spacing w:after="0" w:line="240" w:lineRule="auto"/>
              <w:jc w:val="center"/>
              <w:rPr>
                <w:rFonts w:ascii="Arial Narrow" w:eastAsia="Times New Roman" w:hAnsi="Arial Narrow" w:cs="Times New Roman"/>
                <w:sz w:val="18"/>
                <w:szCs w:val="18"/>
                <w:lang w:eastAsia="es-MX"/>
              </w:rPr>
            </w:pPr>
            <w:r w:rsidRPr="00F94EF8">
              <w:rPr>
                <w:rFonts w:ascii="Arial Narrow" w:eastAsia="Times New Roman" w:hAnsi="Arial Narrow" w:cs="Times New Roman"/>
                <w:sz w:val="18"/>
                <w:szCs w:val="18"/>
                <w:lang w:eastAsia="es-MX"/>
              </w:rPr>
              <w:t>0.73</w:t>
            </w:r>
          </w:p>
        </w:tc>
        <w:tc>
          <w:tcPr>
            <w:tcW w:w="0" w:type="auto"/>
            <w:tcBorders>
              <w:top w:val="nil"/>
              <w:left w:val="nil"/>
              <w:bottom w:val="single" w:sz="8" w:space="0" w:color="FFFFFF"/>
              <w:right w:val="single" w:sz="8" w:space="0" w:color="auto"/>
            </w:tcBorders>
            <w:shd w:val="clear" w:color="auto" w:fill="auto"/>
            <w:vAlign w:val="center"/>
            <w:hideMark/>
          </w:tcPr>
          <w:p w:rsidR="00E1024E" w:rsidRPr="00F94EF8" w:rsidRDefault="00E1024E" w:rsidP="00E1024E">
            <w:pPr>
              <w:spacing w:after="0" w:line="240" w:lineRule="auto"/>
              <w:jc w:val="center"/>
              <w:rPr>
                <w:rFonts w:ascii="Arial Narrow" w:eastAsia="Times New Roman" w:hAnsi="Arial Narrow" w:cs="Times New Roman"/>
                <w:sz w:val="18"/>
                <w:szCs w:val="18"/>
                <w:lang w:eastAsia="es-MX"/>
              </w:rPr>
            </w:pPr>
            <w:r w:rsidRPr="00F94EF8">
              <w:rPr>
                <w:rFonts w:ascii="Arial Narrow" w:eastAsia="Times New Roman" w:hAnsi="Arial Narrow" w:cs="Times New Roman"/>
                <w:sz w:val="18"/>
                <w:szCs w:val="18"/>
                <w:lang w:eastAsia="es-MX"/>
              </w:rPr>
              <w:t>0.82</w:t>
            </w:r>
          </w:p>
        </w:tc>
      </w:tr>
      <w:tr w:rsidR="00E1024E" w:rsidRPr="00F94EF8" w:rsidTr="00E1024E">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E1024E" w:rsidRPr="00F94EF8" w:rsidRDefault="00E1024E" w:rsidP="00E1024E">
            <w:pPr>
              <w:spacing w:after="0" w:line="240" w:lineRule="auto"/>
              <w:jc w:val="both"/>
              <w:rPr>
                <w:rFonts w:ascii="Arial Narrow" w:eastAsia="Times New Roman" w:hAnsi="Arial Narrow" w:cs="Times New Roman"/>
                <w:sz w:val="18"/>
                <w:szCs w:val="18"/>
                <w:lang w:eastAsia="es-MX"/>
              </w:rPr>
            </w:pPr>
            <w:r w:rsidRPr="00F94EF8">
              <w:rPr>
                <w:rFonts w:ascii="Arial Narrow" w:eastAsia="Times New Roman" w:hAnsi="Arial Narrow" w:cs="Times New Roman"/>
                <w:sz w:val="18"/>
                <w:szCs w:val="18"/>
                <w:lang w:val="es-AR" w:eastAsia="es-MX"/>
              </w:rPr>
              <w:t>CENTRO OCCIDENTE</w:t>
            </w:r>
          </w:p>
        </w:tc>
        <w:tc>
          <w:tcPr>
            <w:tcW w:w="0" w:type="auto"/>
            <w:tcBorders>
              <w:top w:val="nil"/>
              <w:left w:val="nil"/>
              <w:bottom w:val="single" w:sz="8" w:space="0" w:color="FFFFFF"/>
              <w:right w:val="single" w:sz="8" w:space="0" w:color="auto"/>
            </w:tcBorders>
            <w:shd w:val="clear" w:color="auto" w:fill="auto"/>
            <w:vAlign w:val="center"/>
            <w:hideMark/>
          </w:tcPr>
          <w:p w:rsidR="00E1024E" w:rsidRPr="00F94EF8" w:rsidRDefault="00E1024E" w:rsidP="00E1024E">
            <w:pPr>
              <w:spacing w:after="0" w:line="240" w:lineRule="auto"/>
              <w:jc w:val="center"/>
              <w:rPr>
                <w:rFonts w:ascii="Arial Narrow" w:eastAsia="Times New Roman" w:hAnsi="Arial Narrow" w:cs="Times New Roman"/>
                <w:sz w:val="18"/>
                <w:szCs w:val="18"/>
                <w:lang w:eastAsia="es-MX"/>
              </w:rPr>
            </w:pPr>
            <w:r w:rsidRPr="00F94EF8">
              <w:rPr>
                <w:rFonts w:ascii="Arial Narrow" w:eastAsia="Times New Roman" w:hAnsi="Arial Narrow" w:cs="Times New Roman"/>
                <w:sz w:val="18"/>
                <w:szCs w:val="18"/>
                <w:lang w:eastAsia="es-MX"/>
              </w:rPr>
              <w:t>0.84</w:t>
            </w:r>
          </w:p>
        </w:tc>
        <w:tc>
          <w:tcPr>
            <w:tcW w:w="0" w:type="auto"/>
            <w:tcBorders>
              <w:top w:val="nil"/>
              <w:left w:val="nil"/>
              <w:bottom w:val="single" w:sz="8" w:space="0" w:color="FFFFFF"/>
              <w:right w:val="single" w:sz="8" w:space="0" w:color="auto"/>
            </w:tcBorders>
            <w:shd w:val="clear" w:color="auto" w:fill="auto"/>
            <w:vAlign w:val="center"/>
            <w:hideMark/>
          </w:tcPr>
          <w:p w:rsidR="00E1024E" w:rsidRPr="00F94EF8" w:rsidRDefault="00E1024E" w:rsidP="00E1024E">
            <w:pPr>
              <w:spacing w:after="0" w:line="240" w:lineRule="auto"/>
              <w:jc w:val="center"/>
              <w:rPr>
                <w:rFonts w:ascii="Arial Narrow" w:eastAsia="Times New Roman" w:hAnsi="Arial Narrow" w:cs="Times New Roman"/>
                <w:sz w:val="18"/>
                <w:szCs w:val="18"/>
                <w:lang w:eastAsia="es-MX"/>
              </w:rPr>
            </w:pPr>
            <w:r w:rsidRPr="00F94EF8">
              <w:rPr>
                <w:rFonts w:ascii="Arial Narrow" w:eastAsia="Times New Roman" w:hAnsi="Arial Narrow" w:cs="Times New Roman"/>
                <w:sz w:val="18"/>
                <w:szCs w:val="18"/>
                <w:lang w:eastAsia="es-MX"/>
              </w:rPr>
              <w:t>0.85</w:t>
            </w:r>
          </w:p>
        </w:tc>
      </w:tr>
      <w:tr w:rsidR="00E1024E" w:rsidRPr="00F94EF8" w:rsidTr="00E1024E">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E1024E" w:rsidRPr="00F94EF8" w:rsidRDefault="00E1024E" w:rsidP="00E1024E">
            <w:pPr>
              <w:spacing w:after="0" w:line="240" w:lineRule="auto"/>
              <w:jc w:val="both"/>
              <w:rPr>
                <w:rFonts w:ascii="Arial Narrow" w:eastAsia="Times New Roman" w:hAnsi="Arial Narrow" w:cs="Times New Roman"/>
                <w:sz w:val="18"/>
                <w:szCs w:val="18"/>
                <w:lang w:eastAsia="es-MX"/>
              </w:rPr>
            </w:pPr>
            <w:r w:rsidRPr="00F94EF8">
              <w:rPr>
                <w:rFonts w:ascii="Arial Narrow" w:eastAsia="Times New Roman" w:hAnsi="Arial Narrow" w:cs="Times New Roman"/>
                <w:sz w:val="18"/>
                <w:szCs w:val="18"/>
                <w:lang w:val="es-AR" w:eastAsia="es-MX"/>
              </w:rPr>
              <w:t>CENTRO ORIENTE</w:t>
            </w:r>
          </w:p>
        </w:tc>
        <w:tc>
          <w:tcPr>
            <w:tcW w:w="0" w:type="auto"/>
            <w:tcBorders>
              <w:top w:val="nil"/>
              <w:left w:val="nil"/>
              <w:bottom w:val="single" w:sz="8" w:space="0" w:color="FFFFFF"/>
              <w:right w:val="single" w:sz="8" w:space="0" w:color="auto"/>
            </w:tcBorders>
            <w:shd w:val="clear" w:color="auto" w:fill="auto"/>
            <w:vAlign w:val="center"/>
            <w:hideMark/>
          </w:tcPr>
          <w:p w:rsidR="00E1024E" w:rsidRPr="00F94EF8" w:rsidRDefault="00E1024E" w:rsidP="00E1024E">
            <w:pPr>
              <w:spacing w:after="0" w:line="240" w:lineRule="auto"/>
              <w:jc w:val="center"/>
              <w:rPr>
                <w:rFonts w:ascii="Arial Narrow" w:eastAsia="Times New Roman" w:hAnsi="Arial Narrow" w:cs="Times New Roman"/>
                <w:sz w:val="18"/>
                <w:szCs w:val="18"/>
                <w:lang w:eastAsia="es-MX"/>
              </w:rPr>
            </w:pPr>
            <w:r w:rsidRPr="00F94EF8">
              <w:rPr>
                <w:rFonts w:ascii="Arial Narrow" w:eastAsia="Times New Roman" w:hAnsi="Arial Narrow" w:cs="Times New Roman"/>
                <w:sz w:val="18"/>
                <w:szCs w:val="18"/>
                <w:lang w:eastAsia="es-MX"/>
              </w:rPr>
              <w:t>0.67</w:t>
            </w:r>
          </w:p>
        </w:tc>
        <w:tc>
          <w:tcPr>
            <w:tcW w:w="0" w:type="auto"/>
            <w:tcBorders>
              <w:top w:val="nil"/>
              <w:left w:val="nil"/>
              <w:bottom w:val="single" w:sz="8" w:space="0" w:color="FFFFFF"/>
              <w:right w:val="single" w:sz="8" w:space="0" w:color="auto"/>
            </w:tcBorders>
            <w:shd w:val="clear" w:color="auto" w:fill="auto"/>
            <w:vAlign w:val="center"/>
            <w:hideMark/>
          </w:tcPr>
          <w:p w:rsidR="00E1024E" w:rsidRPr="00F94EF8" w:rsidRDefault="00E1024E" w:rsidP="00E1024E">
            <w:pPr>
              <w:spacing w:after="0" w:line="240" w:lineRule="auto"/>
              <w:jc w:val="center"/>
              <w:rPr>
                <w:rFonts w:ascii="Arial Narrow" w:eastAsia="Times New Roman" w:hAnsi="Arial Narrow" w:cs="Times New Roman"/>
                <w:sz w:val="18"/>
                <w:szCs w:val="18"/>
                <w:lang w:eastAsia="es-MX"/>
              </w:rPr>
            </w:pPr>
            <w:r w:rsidRPr="00F94EF8">
              <w:rPr>
                <w:rFonts w:ascii="Arial Narrow" w:eastAsia="Times New Roman" w:hAnsi="Arial Narrow" w:cs="Times New Roman"/>
                <w:sz w:val="18"/>
                <w:szCs w:val="18"/>
                <w:lang w:eastAsia="es-MX"/>
              </w:rPr>
              <w:t>0.73</w:t>
            </w:r>
          </w:p>
        </w:tc>
      </w:tr>
      <w:tr w:rsidR="00E1024E" w:rsidRPr="00F94EF8" w:rsidTr="00E1024E">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E1024E" w:rsidRPr="00F94EF8" w:rsidRDefault="00E1024E" w:rsidP="00E1024E">
            <w:pPr>
              <w:spacing w:after="0" w:line="240" w:lineRule="auto"/>
              <w:jc w:val="both"/>
              <w:rPr>
                <w:rFonts w:ascii="Arial Narrow" w:eastAsia="Times New Roman" w:hAnsi="Arial Narrow" w:cs="Times New Roman"/>
                <w:sz w:val="18"/>
                <w:szCs w:val="18"/>
                <w:lang w:eastAsia="es-MX"/>
              </w:rPr>
            </w:pPr>
            <w:r w:rsidRPr="00F94EF8">
              <w:rPr>
                <w:rFonts w:ascii="Arial Narrow" w:eastAsia="Times New Roman" w:hAnsi="Arial Narrow" w:cs="Times New Roman"/>
                <w:sz w:val="18"/>
                <w:szCs w:val="18"/>
                <w:lang w:val="es-AR" w:eastAsia="es-MX"/>
              </w:rPr>
              <w:t>CENTRO SUR</w:t>
            </w:r>
          </w:p>
        </w:tc>
        <w:tc>
          <w:tcPr>
            <w:tcW w:w="0" w:type="auto"/>
            <w:tcBorders>
              <w:top w:val="nil"/>
              <w:left w:val="nil"/>
              <w:bottom w:val="single" w:sz="8" w:space="0" w:color="FFFFFF"/>
              <w:right w:val="single" w:sz="8" w:space="0" w:color="auto"/>
            </w:tcBorders>
            <w:shd w:val="clear" w:color="auto" w:fill="auto"/>
            <w:vAlign w:val="center"/>
            <w:hideMark/>
          </w:tcPr>
          <w:p w:rsidR="00E1024E" w:rsidRPr="00F94EF8" w:rsidRDefault="00E1024E" w:rsidP="00E1024E">
            <w:pPr>
              <w:spacing w:after="0" w:line="240" w:lineRule="auto"/>
              <w:jc w:val="center"/>
              <w:rPr>
                <w:rFonts w:ascii="Arial Narrow" w:eastAsia="Times New Roman" w:hAnsi="Arial Narrow" w:cs="Times New Roman"/>
                <w:sz w:val="18"/>
                <w:szCs w:val="18"/>
                <w:lang w:eastAsia="es-MX"/>
              </w:rPr>
            </w:pPr>
            <w:r w:rsidRPr="00F94EF8">
              <w:rPr>
                <w:rFonts w:ascii="Arial Narrow" w:eastAsia="Times New Roman" w:hAnsi="Arial Narrow" w:cs="Times New Roman"/>
                <w:sz w:val="18"/>
                <w:szCs w:val="18"/>
                <w:lang w:eastAsia="es-MX"/>
              </w:rPr>
              <w:t>0.6</w:t>
            </w:r>
          </w:p>
        </w:tc>
        <w:tc>
          <w:tcPr>
            <w:tcW w:w="0" w:type="auto"/>
            <w:tcBorders>
              <w:top w:val="nil"/>
              <w:left w:val="nil"/>
              <w:bottom w:val="single" w:sz="8" w:space="0" w:color="FFFFFF"/>
              <w:right w:val="single" w:sz="8" w:space="0" w:color="auto"/>
            </w:tcBorders>
            <w:shd w:val="clear" w:color="auto" w:fill="auto"/>
            <w:vAlign w:val="center"/>
            <w:hideMark/>
          </w:tcPr>
          <w:p w:rsidR="00E1024E" w:rsidRPr="00F94EF8" w:rsidRDefault="00E1024E" w:rsidP="00E1024E">
            <w:pPr>
              <w:spacing w:after="0" w:line="240" w:lineRule="auto"/>
              <w:jc w:val="center"/>
              <w:rPr>
                <w:rFonts w:ascii="Arial Narrow" w:eastAsia="Times New Roman" w:hAnsi="Arial Narrow" w:cs="Times New Roman"/>
                <w:sz w:val="18"/>
                <w:szCs w:val="18"/>
                <w:lang w:eastAsia="es-MX"/>
              </w:rPr>
            </w:pPr>
            <w:r w:rsidRPr="00F94EF8">
              <w:rPr>
                <w:rFonts w:ascii="Arial Narrow" w:eastAsia="Times New Roman" w:hAnsi="Arial Narrow" w:cs="Times New Roman"/>
                <w:sz w:val="18"/>
                <w:szCs w:val="18"/>
                <w:lang w:eastAsia="es-MX"/>
              </w:rPr>
              <w:t>0.69</w:t>
            </w:r>
          </w:p>
        </w:tc>
      </w:tr>
      <w:tr w:rsidR="00E1024E" w:rsidRPr="00F94EF8" w:rsidTr="00E1024E">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E1024E" w:rsidRPr="00F94EF8" w:rsidRDefault="00E1024E" w:rsidP="00E1024E">
            <w:pPr>
              <w:spacing w:after="0" w:line="240" w:lineRule="auto"/>
              <w:jc w:val="both"/>
              <w:rPr>
                <w:rFonts w:ascii="Arial Narrow" w:eastAsia="Times New Roman" w:hAnsi="Arial Narrow" w:cs="Times New Roman"/>
                <w:sz w:val="18"/>
                <w:szCs w:val="18"/>
                <w:lang w:eastAsia="es-MX"/>
              </w:rPr>
            </w:pPr>
            <w:r w:rsidRPr="00F94EF8">
              <w:rPr>
                <w:rFonts w:ascii="Arial Narrow" w:eastAsia="Times New Roman" w:hAnsi="Arial Narrow" w:cs="Times New Roman"/>
                <w:sz w:val="18"/>
                <w:szCs w:val="18"/>
                <w:lang w:val="es-AR" w:eastAsia="es-MX"/>
              </w:rPr>
              <w:t>GOLFO NORTE</w:t>
            </w:r>
          </w:p>
        </w:tc>
        <w:tc>
          <w:tcPr>
            <w:tcW w:w="0" w:type="auto"/>
            <w:tcBorders>
              <w:top w:val="nil"/>
              <w:left w:val="nil"/>
              <w:bottom w:val="single" w:sz="8" w:space="0" w:color="FFFFFF"/>
              <w:right w:val="single" w:sz="8" w:space="0" w:color="auto"/>
            </w:tcBorders>
            <w:shd w:val="clear" w:color="auto" w:fill="auto"/>
            <w:vAlign w:val="center"/>
            <w:hideMark/>
          </w:tcPr>
          <w:p w:rsidR="00E1024E" w:rsidRPr="00F94EF8" w:rsidRDefault="00E1024E" w:rsidP="00E1024E">
            <w:pPr>
              <w:spacing w:after="0" w:line="240" w:lineRule="auto"/>
              <w:jc w:val="center"/>
              <w:rPr>
                <w:rFonts w:ascii="Arial Narrow" w:eastAsia="Times New Roman" w:hAnsi="Arial Narrow" w:cs="Times New Roman"/>
                <w:sz w:val="18"/>
                <w:szCs w:val="18"/>
                <w:lang w:eastAsia="es-MX"/>
              </w:rPr>
            </w:pPr>
            <w:r w:rsidRPr="00F94EF8">
              <w:rPr>
                <w:rFonts w:ascii="Arial Narrow" w:eastAsia="Times New Roman" w:hAnsi="Arial Narrow" w:cs="Times New Roman"/>
                <w:sz w:val="18"/>
                <w:szCs w:val="18"/>
                <w:lang w:eastAsia="es-MX"/>
              </w:rPr>
              <w:t>0.66</w:t>
            </w:r>
          </w:p>
        </w:tc>
        <w:tc>
          <w:tcPr>
            <w:tcW w:w="0" w:type="auto"/>
            <w:tcBorders>
              <w:top w:val="nil"/>
              <w:left w:val="nil"/>
              <w:bottom w:val="single" w:sz="8" w:space="0" w:color="FFFFFF"/>
              <w:right w:val="single" w:sz="8" w:space="0" w:color="auto"/>
            </w:tcBorders>
            <w:shd w:val="clear" w:color="auto" w:fill="auto"/>
            <w:vAlign w:val="center"/>
            <w:hideMark/>
          </w:tcPr>
          <w:p w:rsidR="00E1024E" w:rsidRPr="00F94EF8" w:rsidRDefault="00E1024E" w:rsidP="00E1024E">
            <w:pPr>
              <w:spacing w:after="0" w:line="240" w:lineRule="auto"/>
              <w:jc w:val="center"/>
              <w:rPr>
                <w:rFonts w:ascii="Arial Narrow" w:eastAsia="Times New Roman" w:hAnsi="Arial Narrow" w:cs="Times New Roman"/>
                <w:sz w:val="18"/>
                <w:szCs w:val="18"/>
                <w:lang w:eastAsia="es-MX"/>
              </w:rPr>
            </w:pPr>
            <w:r w:rsidRPr="00F94EF8">
              <w:rPr>
                <w:rFonts w:ascii="Arial Narrow" w:eastAsia="Times New Roman" w:hAnsi="Arial Narrow" w:cs="Times New Roman"/>
                <w:sz w:val="18"/>
                <w:szCs w:val="18"/>
                <w:lang w:eastAsia="es-MX"/>
              </w:rPr>
              <w:t>0.77</w:t>
            </w:r>
          </w:p>
        </w:tc>
      </w:tr>
      <w:tr w:rsidR="00E1024E" w:rsidRPr="00F94EF8" w:rsidTr="00E1024E">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E1024E" w:rsidRPr="00F94EF8" w:rsidRDefault="00E1024E" w:rsidP="00E1024E">
            <w:pPr>
              <w:spacing w:after="0" w:line="240" w:lineRule="auto"/>
              <w:jc w:val="both"/>
              <w:rPr>
                <w:rFonts w:ascii="Arial Narrow" w:eastAsia="Times New Roman" w:hAnsi="Arial Narrow" w:cs="Times New Roman"/>
                <w:sz w:val="18"/>
                <w:szCs w:val="18"/>
                <w:lang w:eastAsia="es-MX"/>
              </w:rPr>
            </w:pPr>
            <w:r w:rsidRPr="00F94EF8">
              <w:rPr>
                <w:rFonts w:ascii="Arial Narrow" w:eastAsia="Times New Roman" w:hAnsi="Arial Narrow" w:cs="Times New Roman"/>
                <w:sz w:val="18"/>
                <w:szCs w:val="18"/>
                <w:lang w:val="es-AR" w:eastAsia="es-MX"/>
              </w:rPr>
              <w:t>JALISCO</w:t>
            </w:r>
          </w:p>
        </w:tc>
        <w:tc>
          <w:tcPr>
            <w:tcW w:w="0" w:type="auto"/>
            <w:tcBorders>
              <w:top w:val="nil"/>
              <w:left w:val="nil"/>
              <w:bottom w:val="single" w:sz="8" w:space="0" w:color="FFFFFF"/>
              <w:right w:val="single" w:sz="8" w:space="0" w:color="auto"/>
            </w:tcBorders>
            <w:shd w:val="clear" w:color="auto" w:fill="auto"/>
            <w:vAlign w:val="center"/>
            <w:hideMark/>
          </w:tcPr>
          <w:p w:rsidR="00E1024E" w:rsidRPr="00F94EF8" w:rsidRDefault="00E1024E" w:rsidP="00E1024E">
            <w:pPr>
              <w:spacing w:after="0" w:line="240" w:lineRule="auto"/>
              <w:jc w:val="center"/>
              <w:rPr>
                <w:rFonts w:ascii="Arial Narrow" w:eastAsia="Times New Roman" w:hAnsi="Arial Narrow" w:cs="Times New Roman"/>
                <w:sz w:val="18"/>
                <w:szCs w:val="18"/>
                <w:lang w:eastAsia="es-MX"/>
              </w:rPr>
            </w:pPr>
            <w:r w:rsidRPr="00F94EF8">
              <w:rPr>
                <w:rFonts w:ascii="Arial Narrow" w:eastAsia="Times New Roman" w:hAnsi="Arial Narrow" w:cs="Times New Roman"/>
                <w:sz w:val="18"/>
                <w:szCs w:val="18"/>
                <w:lang w:eastAsia="es-MX"/>
              </w:rPr>
              <w:t>0.67</w:t>
            </w:r>
          </w:p>
        </w:tc>
        <w:tc>
          <w:tcPr>
            <w:tcW w:w="0" w:type="auto"/>
            <w:tcBorders>
              <w:top w:val="nil"/>
              <w:left w:val="nil"/>
              <w:bottom w:val="single" w:sz="8" w:space="0" w:color="FFFFFF"/>
              <w:right w:val="single" w:sz="8" w:space="0" w:color="auto"/>
            </w:tcBorders>
            <w:shd w:val="clear" w:color="auto" w:fill="auto"/>
            <w:vAlign w:val="center"/>
            <w:hideMark/>
          </w:tcPr>
          <w:p w:rsidR="00E1024E" w:rsidRPr="00F94EF8" w:rsidRDefault="00E1024E" w:rsidP="00E1024E">
            <w:pPr>
              <w:spacing w:after="0" w:line="240" w:lineRule="auto"/>
              <w:jc w:val="center"/>
              <w:rPr>
                <w:rFonts w:ascii="Arial Narrow" w:eastAsia="Times New Roman" w:hAnsi="Arial Narrow" w:cs="Times New Roman"/>
                <w:sz w:val="18"/>
                <w:szCs w:val="18"/>
                <w:lang w:eastAsia="es-MX"/>
              </w:rPr>
            </w:pPr>
            <w:r w:rsidRPr="00F94EF8">
              <w:rPr>
                <w:rFonts w:ascii="Arial Narrow" w:eastAsia="Times New Roman" w:hAnsi="Arial Narrow" w:cs="Times New Roman"/>
                <w:sz w:val="18"/>
                <w:szCs w:val="18"/>
                <w:lang w:eastAsia="es-MX"/>
              </w:rPr>
              <w:t>0.71</w:t>
            </w:r>
          </w:p>
        </w:tc>
      </w:tr>
      <w:tr w:rsidR="00E1024E" w:rsidRPr="00F94EF8" w:rsidTr="00E1024E">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E1024E" w:rsidRPr="00F94EF8" w:rsidRDefault="00E1024E" w:rsidP="00E1024E">
            <w:pPr>
              <w:spacing w:after="0" w:line="240" w:lineRule="auto"/>
              <w:jc w:val="both"/>
              <w:rPr>
                <w:rFonts w:ascii="Arial Narrow" w:eastAsia="Times New Roman" w:hAnsi="Arial Narrow" w:cs="Times New Roman"/>
                <w:sz w:val="18"/>
                <w:szCs w:val="18"/>
                <w:lang w:eastAsia="es-MX"/>
              </w:rPr>
            </w:pPr>
            <w:r w:rsidRPr="00F94EF8">
              <w:rPr>
                <w:rFonts w:ascii="Arial Narrow" w:eastAsia="Times New Roman" w:hAnsi="Arial Narrow" w:cs="Times New Roman"/>
                <w:sz w:val="18"/>
                <w:szCs w:val="18"/>
                <w:lang w:val="es-AR" w:eastAsia="es-MX"/>
              </w:rPr>
              <w:t>NOROESTE</w:t>
            </w:r>
          </w:p>
        </w:tc>
        <w:tc>
          <w:tcPr>
            <w:tcW w:w="0" w:type="auto"/>
            <w:tcBorders>
              <w:top w:val="nil"/>
              <w:left w:val="nil"/>
              <w:bottom w:val="single" w:sz="8" w:space="0" w:color="FFFFFF"/>
              <w:right w:val="single" w:sz="8" w:space="0" w:color="auto"/>
            </w:tcBorders>
            <w:shd w:val="clear" w:color="auto" w:fill="auto"/>
            <w:vAlign w:val="center"/>
            <w:hideMark/>
          </w:tcPr>
          <w:p w:rsidR="00E1024E" w:rsidRPr="00F94EF8" w:rsidRDefault="00E1024E" w:rsidP="00E1024E">
            <w:pPr>
              <w:spacing w:after="0" w:line="240" w:lineRule="auto"/>
              <w:jc w:val="center"/>
              <w:rPr>
                <w:rFonts w:ascii="Arial Narrow" w:eastAsia="Times New Roman" w:hAnsi="Arial Narrow" w:cs="Times New Roman"/>
                <w:sz w:val="18"/>
                <w:szCs w:val="18"/>
                <w:lang w:eastAsia="es-MX"/>
              </w:rPr>
            </w:pPr>
            <w:r w:rsidRPr="00F94EF8">
              <w:rPr>
                <w:rFonts w:ascii="Arial Narrow" w:eastAsia="Times New Roman" w:hAnsi="Arial Narrow" w:cs="Times New Roman"/>
                <w:sz w:val="18"/>
                <w:szCs w:val="18"/>
                <w:lang w:eastAsia="es-MX"/>
              </w:rPr>
              <w:t>0.6</w:t>
            </w:r>
          </w:p>
        </w:tc>
        <w:tc>
          <w:tcPr>
            <w:tcW w:w="0" w:type="auto"/>
            <w:tcBorders>
              <w:top w:val="nil"/>
              <w:left w:val="nil"/>
              <w:bottom w:val="single" w:sz="8" w:space="0" w:color="FFFFFF"/>
              <w:right w:val="single" w:sz="8" w:space="0" w:color="auto"/>
            </w:tcBorders>
            <w:shd w:val="clear" w:color="auto" w:fill="auto"/>
            <w:vAlign w:val="center"/>
            <w:hideMark/>
          </w:tcPr>
          <w:p w:rsidR="00E1024E" w:rsidRPr="00F94EF8" w:rsidRDefault="00E1024E" w:rsidP="00E1024E">
            <w:pPr>
              <w:spacing w:after="0" w:line="240" w:lineRule="auto"/>
              <w:jc w:val="center"/>
              <w:rPr>
                <w:rFonts w:ascii="Arial Narrow" w:eastAsia="Times New Roman" w:hAnsi="Arial Narrow" w:cs="Times New Roman"/>
                <w:sz w:val="18"/>
                <w:szCs w:val="18"/>
                <w:lang w:eastAsia="es-MX"/>
              </w:rPr>
            </w:pPr>
            <w:r w:rsidRPr="00F94EF8">
              <w:rPr>
                <w:rFonts w:ascii="Arial Narrow" w:eastAsia="Times New Roman" w:hAnsi="Arial Narrow" w:cs="Times New Roman"/>
                <w:sz w:val="18"/>
                <w:szCs w:val="18"/>
                <w:lang w:eastAsia="es-MX"/>
              </w:rPr>
              <w:t>0.71</w:t>
            </w:r>
          </w:p>
        </w:tc>
      </w:tr>
      <w:tr w:rsidR="00E1024E" w:rsidRPr="00F94EF8" w:rsidTr="00E1024E">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E1024E" w:rsidRPr="00F94EF8" w:rsidRDefault="00E1024E" w:rsidP="00E1024E">
            <w:pPr>
              <w:spacing w:after="0" w:line="240" w:lineRule="auto"/>
              <w:jc w:val="both"/>
              <w:rPr>
                <w:rFonts w:ascii="Arial Narrow" w:eastAsia="Times New Roman" w:hAnsi="Arial Narrow" w:cs="Times New Roman"/>
                <w:sz w:val="18"/>
                <w:szCs w:val="18"/>
                <w:lang w:eastAsia="es-MX"/>
              </w:rPr>
            </w:pPr>
            <w:r w:rsidRPr="00F94EF8">
              <w:rPr>
                <w:rFonts w:ascii="Arial Narrow" w:eastAsia="Times New Roman" w:hAnsi="Arial Narrow" w:cs="Times New Roman"/>
                <w:sz w:val="18"/>
                <w:szCs w:val="18"/>
                <w:lang w:val="es-AR" w:eastAsia="es-MX"/>
              </w:rPr>
              <w:t>NORTE</w:t>
            </w:r>
          </w:p>
        </w:tc>
        <w:tc>
          <w:tcPr>
            <w:tcW w:w="0" w:type="auto"/>
            <w:tcBorders>
              <w:top w:val="nil"/>
              <w:left w:val="nil"/>
              <w:bottom w:val="single" w:sz="8" w:space="0" w:color="FFFFFF"/>
              <w:right w:val="single" w:sz="8" w:space="0" w:color="auto"/>
            </w:tcBorders>
            <w:shd w:val="clear" w:color="auto" w:fill="auto"/>
            <w:vAlign w:val="center"/>
            <w:hideMark/>
          </w:tcPr>
          <w:p w:rsidR="00E1024E" w:rsidRPr="00F94EF8" w:rsidRDefault="00E1024E" w:rsidP="00E1024E">
            <w:pPr>
              <w:spacing w:after="0" w:line="240" w:lineRule="auto"/>
              <w:jc w:val="center"/>
              <w:rPr>
                <w:rFonts w:ascii="Arial Narrow" w:eastAsia="Times New Roman" w:hAnsi="Arial Narrow" w:cs="Times New Roman"/>
                <w:sz w:val="18"/>
                <w:szCs w:val="18"/>
                <w:lang w:eastAsia="es-MX"/>
              </w:rPr>
            </w:pPr>
            <w:r w:rsidRPr="00F94EF8">
              <w:rPr>
                <w:rFonts w:ascii="Arial Narrow" w:eastAsia="Times New Roman" w:hAnsi="Arial Narrow" w:cs="Times New Roman"/>
                <w:sz w:val="18"/>
                <w:szCs w:val="18"/>
                <w:lang w:eastAsia="es-MX"/>
              </w:rPr>
              <w:t>0.57</w:t>
            </w:r>
          </w:p>
        </w:tc>
        <w:tc>
          <w:tcPr>
            <w:tcW w:w="0" w:type="auto"/>
            <w:tcBorders>
              <w:top w:val="nil"/>
              <w:left w:val="nil"/>
              <w:bottom w:val="single" w:sz="8" w:space="0" w:color="FFFFFF"/>
              <w:right w:val="single" w:sz="8" w:space="0" w:color="auto"/>
            </w:tcBorders>
            <w:shd w:val="clear" w:color="auto" w:fill="auto"/>
            <w:vAlign w:val="center"/>
            <w:hideMark/>
          </w:tcPr>
          <w:p w:rsidR="00E1024E" w:rsidRPr="00F94EF8" w:rsidRDefault="00E1024E" w:rsidP="00E1024E">
            <w:pPr>
              <w:spacing w:after="0" w:line="240" w:lineRule="auto"/>
              <w:jc w:val="center"/>
              <w:rPr>
                <w:rFonts w:ascii="Arial Narrow" w:eastAsia="Times New Roman" w:hAnsi="Arial Narrow" w:cs="Times New Roman"/>
                <w:sz w:val="18"/>
                <w:szCs w:val="18"/>
                <w:lang w:eastAsia="es-MX"/>
              </w:rPr>
            </w:pPr>
            <w:r w:rsidRPr="00F94EF8">
              <w:rPr>
                <w:rFonts w:ascii="Arial Narrow" w:eastAsia="Times New Roman" w:hAnsi="Arial Narrow" w:cs="Times New Roman"/>
                <w:sz w:val="18"/>
                <w:szCs w:val="18"/>
                <w:lang w:eastAsia="es-MX"/>
              </w:rPr>
              <w:t>0.71</w:t>
            </w:r>
          </w:p>
        </w:tc>
      </w:tr>
      <w:tr w:rsidR="00E1024E" w:rsidRPr="00F94EF8" w:rsidTr="00E1024E">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E1024E" w:rsidRPr="00F94EF8" w:rsidRDefault="00E1024E" w:rsidP="00E1024E">
            <w:pPr>
              <w:spacing w:after="0" w:line="240" w:lineRule="auto"/>
              <w:jc w:val="both"/>
              <w:rPr>
                <w:rFonts w:ascii="Arial Narrow" w:eastAsia="Times New Roman" w:hAnsi="Arial Narrow" w:cs="Times New Roman"/>
                <w:sz w:val="18"/>
                <w:szCs w:val="18"/>
                <w:lang w:eastAsia="es-MX"/>
              </w:rPr>
            </w:pPr>
            <w:r w:rsidRPr="00F94EF8">
              <w:rPr>
                <w:rFonts w:ascii="Arial Narrow" w:eastAsia="Times New Roman" w:hAnsi="Arial Narrow" w:cs="Times New Roman"/>
                <w:sz w:val="18"/>
                <w:szCs w:val="18"/>
                <w:lang w:val="es-AR" w:eastAsia="es-MX"/>
              </w:rPr>
              <w:t>SURESTE</w:t>
            </w:r>
          </w:p>
        </w:tc>
        <w:tc>
          <w:tcPr>
            <w:tcW w:w="0" w:type="auto"/>
            <w:tcBorders>
              <w:top w:val="nil"/>
              <w:left w:val="nil"/>
              <w:bottom w:val="single" w:sz="8" w:space="0" w:color="FFFFFF"/>
              <w:right w:val="single" w:sz="8" w:space="0" w:color="auto"/>
            </w:tcBorders>
            <w:shd w:val="clear" w:color="auto" w:fill="auto"/>
            <w:vAlign w:val="center"/>
            <w:hideMark/>
          </w:tcPr>
          <w:p w:rsidR="00E1024E" w:rsidRPr="00F94EF8" w:rsidRDefault="00E1024E" w:rsidP="00E1024E">
            <w:pPr>
              <w:spacing w:after="0" w:line="240" w:lineRule="auto"/>
              <w:jc w:val="center"/>
              <w:rPr>
                <w:rFonts w:ascii="Arial Narrow" w:eastAsia="Times New Roman" w:hAnsi="Arial Narrow" w:cs="Times New Roman"/>
                <w:sz w:val="18"/>
                <w:szCs w:val="18"/>
                <w:lang w:eastAsia="es-MX"/>
              </w:rPr>
            </w:pPr>
            <w:r w:rsidRPr="00F94EF8">
              <w:rPr>
                <w:rFonts w:ascii="Arial Narrow" w:eastAsia="Times New Roman" w:hAnsi="Arial Narrow" w:cs="Times New Roman"/>
                <w:sz w:val="18"/>
                <w:szCs w:val="18"/>
                <w:lang w:eastAsia="es-MX"/>
              </w:rPr>
              <w:t>0.43</w:t>
            </w:r>
          </w:p>
        </w:tc>
        <w:tc>
          <w:tcPr>
            <w:tcW w:w="0" w:type="auto"/>
            <w:tcBorders>
              <w:top w:val="nil"/>
              <w:left w:val="nil"/>
              <w:bottom w:val="single" w:sz="8" w:space="0" w:color="FFFFFF"/>
              <w:right w:val="single" w:sz="8" w:space="0" w:color="auto"/>
            </w:tcBorders>
            <w:shd w:val="clear" w:color="auto" w:fill="auto"/>
            <w:vAlign w:val="center"/>
            <w:hideMark/>
          </w:tcPr>
          <w:p w:rsidR="00E1024E" w:rsidRPr="00F94EF8" w:rsidRDefault="00E1024E" w:rsidP="00E1024E">
            <w:pPr>
              <w:spacing w:after="0" w:line="240" w:lineRule="auto"/>
              <w:jc w:val="center"/>
              <w:rPr>
                <w:rFonts w:ascii="Arial Narrow" w:eastAsia="Times New Roman" w:hAnsi="Arial Narrow" w:cs="Times New Roman"/>
                <w:sz w:val="18"/>
                <w:szCs w:val="18"/>
                <w:lang w:eastAsia="es-MX"/>
              </w:rPr>
            </w:pPr>
            <w:r w:rsidRPr="00F94EF8">
              <w:rPr>
                <w:rFonts w:ascii="Arial Narrow" w:eastAsia="Times New Roman" w:hAnsi="Arial Narrow" w:cs="Times New Roman"/>
                <w:sz w:val="18"/>
                <w:szCs w:val="18"/>
                <w:lang w:eastAsia="es-MX"/>
              </w:rPr>
              <w:t>0.56</w:t>
            </w:r>
          </w:p>
        </w:tc>
      </w:tr>
      <w:tr w:rsidR="00E1024E" w:rsidRPr="00F94EF8" w:rsidTr="00E1024E">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E1024E" w:rsidRPr="00F94EF8" w:rsidRDefault="00E1024E" w:rsidP="00E1024E">
            <w:pPr>
              <w:spacing w:after="0" w:line="240" w:lineRule="auto"/>
              <w:jc w:val="both"/>
              <w:rPr>
                <w:rFonts w:ascii="Arial Narrow" w:eastAsia="Times New Roman" w:hAnsi="Arial Narrow" w:cs="Times New Roman"/>
                <w:sz w:val="18"/>
                <w:szCs w:val="18"/>
                <w:lang w:eastAsia="es-MX"/>
              </w:rPr>
            </w:pPr>
            <w:r w:rsidRPr="00F94EF8">
              <w:rPr>
                <w:rFonts w:ascii="Arial Narrow" w:eastAsia="Times New Roman" w:hAnsi="Arial Narrow" w:cs="Times New Roman"/>
                <w:sz w:val="18"/>
                <w:szCs w:val="18"/>
                <w:lang w:val="es-AR" w:eastAsia="es-MX"/>
              </w:rPr>
              <w:t>PENINSULAR</w:t>
            </w:r>
          </w:p>
        </w:tc>
        <w:tc>
          <w:tcPr>
            <w:tcW w:w="0" w:type="auto"/>
            <w:tcBorders>
              <w:top w:val="nil"/>
              <w:left w:val="nil"/>
              <w:bottom w:val="single" w:sz="8" w:space="0" w:color="FFFFFF"/>
              <w:right w:val="single" w:sz="8" w:space="0" w:color="auto"/>
            </w:tcBorders>
            <w:shd w:val="clear" w:color="auto" w:fill="auto"/>
            <w:vAlign w:val="center"/>
            <w:hideMark/>
          </w:tcPr>
          <w:p w:rsidR="00E1024E" w:rsidRPr="00F94EF8" w:rsidRDefault="00E1024E" w:rsidP="00E1024E">
            <w:pPr>
              <w:spacing w:after="0" w:line="240" w:lineRule="auto"/>
              <w:jc w:val="center"/>
              <w:rPr>
                <w:rFonts w:ascii="Arial Narrow" w:eastAsia="Times New Roman" w:hAnsi="Arial Narrow" w:cs="Times New Roman"/>
                <w:sz w:val="18"/>
                <w:szCs w:val="18"/>
                <w:lang w:eastAsia="es-MX"/>
              </w:rPr>
            </w:pPr>
            <w:r w:rsidRPr="00F94EF8">
              <w:rPr>
                <w:rFonts w:ascii="Arial Narrow" w:eastAsia="Times New Roman" w:hAnsi="Arial Narrow" w:cs="Times New Roman"/>
                <w:sz w:val="18"/>
                <w:szCs w:val="18"/>
                <w:lang w:eastAsia="es-MX"/>
              </w:rPr>
              <w:t>0.56</w:t>
            </w:r>
          </w:p>
        </w:tc>
        <w:tc>
          <w:tcPr>
            <w:tcW w:w="0" w:type="auto"/>
            <w:tcBorders>
              <w:top w:val="nil"/>
              <w:left w:val="nil"/>
              <w:bottom w:val="single" w:sz="8" w:space="0" w:color="FFFFFF"/>
              <w:right w:val="single" w:sz="8" w:space="0" w:color="auto"/>
            </w:tcBorders>
            <w:shd w:val="clear" w:color="auto" w:fill="auto"/>
            <w:vAlign w:val="center"/>
            <w:hideMark/>
          </w:tcPr>
          <w:p w:rsidR="00E1024E" w:rsidRPr="00F94EF8" w:rsidRDefault="00E1024E" w:rsidP="00E1024E">
            <w:pPr>
              <w:spacing w:after="0" w:line="240" w:lineRule="auto"/>
              <w:jc w:val="center"/>
              <w:rPr>
                <w:rFonts w:ascii="Arial Narrow" w:eastAsia="Times New Roman" w:hAnsi="Arial Narrow" w:cs="Times New Roman"/>
                <w:sz w:val="18"/>
                <w:szCs w:val="18"/>
                <w:lang w:eastAsia="es-MX"/>
              </w:rPr>
            </w:pPr>
            <w:r w:rsidRPr="00F94EF8">
              <w:rPr>
                <w:rFonts w:ascii="Arial Narrow" w:eastAsia="Times New Roman" w:hAnsi="Arial Narrow" w:cs="Times New Roman"/>
                <w:sz w:val="18"/>
                <w:szCs w:val="18"/>
                <w:lang w:eastAsia="es-MX"/>
              </w:rPr>
              <w:t>0.66</w:t>
            </w:r>
          </w:p>
        </w:tc>
      </w:tr>
      <w:tr w:rsidR="00E1024E" w:rsidRPr="00F94EF8" w:rsidTr="00E1024E">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E1024E" w:rsidRPr="00F94EF8" w:rsidRDefault="00E1024E" w:rsidP="00E1024E">
            <w:pPr>
              <w:spacing w:after="0" w:line="240" w:lineRule="auto"/>
              <w:jc w:val="both"/>
              <w:rPr>
                <w:rFonts w:ascii="Arial Narrow" w:eastAsia="Times New Roman" w:hAnsi="Arial Narrow" w:cs="Times New Roman"/>
                <w:sz w:val="18"/>
                <w:szCs w:val="18"/>
                <w:lang w:eastAsia="es-MX"/>
              </w:rPr>
            </w:pPr>
            <w:r w:rsidRPr="00F94EF8">
              <w:rPr>
                <w:rFonts w:ascii="Arial Narrow" w:eastAsia="Times New Roman" w:hAnsi="Arial Narrow" w:cs="Times New Roman"/>
                <w:sz w:val="18"/>
                <w:szCs w:val="18"/>
                <w:lang w:val="es-AR" w:eastAsia="es-MX"/>
              </w:rPr>
              <w:t>ORIENTE</w:t>
            </w:r>
          </w:p>
        </w:tc>
        <w:tc>
          <w:tcPr>
            <w:tcW w:w="0" w:type="auto"/>
            <w:tcBorders>
              <w:top w:val="nil"/>
              <w:left w:val="nil"/>
              <w:bottom w:val="single" w:sz="8" w:space="0" w:color="FFFFFF"/>
              <w:right w:val="single" w:sz="8" w:space="0" w:color="auto"/>
            </w:tcBorders>
            <w:shd w:val="clear" w:color="auto" w:fill="auto"/>
            <w:vAlign w:val="center"/>
            <w:hideMark/>
          </w:tcPr>
          <w:p w:rsidR="00E1024E" w:rsidRPr="00F94EF8" w:rsidRDefault="00E1024E" w:rsidP="00E1024E">
            <w:pPr>
              <w:spacing w:after="0" w:line="240" w:lineRule="auto"/>
              <w:jc w:val="center"/>
              <w:rPr>
                <w:rFonts w:ascii="Arial Narrow" w:eastAsia="Times New Roman" w:hAnsi="Arial Narrow" w:cs="Times New Roman"/>
                <w:sz w:val="18"/>
                <w:szCs w:val="18"/>
                <w:lang w:eastAsia="es-MX"/>
              </w:rPr>
            </w:pPr>
            <w:r w:rsidRPr="00F94EF8">
              <w:rPr>
                <w:rFonts w:ascii="Arial Narrow" w:eastAsia="Times New Roman" w:hAnsi="Arial Narrow" w:cs="Times New Roman"/>
                <w:sz w:val="18"/>
                <w:szCs w:val="18"/>
                <w:lang w:eastAsia="es-MX"/>
              </w:rPr>
              <w:t>0.57</w:t>
            </w:r>
          </w:p>
        </w:tc>
        <w:tc>
          <w:tcPr>
            <w:tcW w:w="0" w:type="auto"/>
            <w:tcBorders>
              <w:top w:val="nil"/>
              <w:left w:val="nil"/>
              <w:bottom w:val="single" w:sz="8" w:space="0" w:color="FFFFFF"/>
              <w:right w:val="single" w:sz="8" w:space="0" w:color="auto"/>
            </w:tcBorders>
            <w:shd w:val="clear" w:color="auto" w:fill="auto"/>
            <w:vAlign w:val="center"/>
            <w:hideMark/>
          </w:tcPr>
          <w:p w:rsidR="00E1024E" w:rsidRPr="00F94EF8" w:rsidRDefault="00E1024E" w:rsidP="00E1024E">
            <w:pPr>
              <w:spacing w:after="0" w:line="240" w:lineRule="auto"/>
              <w:jc w:val="center"/>
              <w:rPr>
                <w:rFonts w:ascii="Arial Narrow" w:eastAsia="Times New Roman" w:hAnsi="Arial Narrow" w:cs="Times New Roman"/>
                <w:sz w:val="18"/>
                <w:szCs w:val="18"/>
                <w:lang w:eastAsia="es-MX"/>
              </w:rPr>
            </w:pPr>
            <w:r w:rsidRPr="00F94EF8">
              <w:rPr>
                <w:rFonts w:ascii="Arial Narrow" w:eastAsia="Times New Roman" w:hAnsi="Arial Narrow" w:cs="Times New Roman"/>
                <w:sz w:val="18"/>
                <w:szCs w:val="18"/>
                <w:lang w:eastAsia="es-MX"/>
              </w:rPr>
              <w:t>0.71</w:t>
            </w:r>
          </w:p>
        </w:tc>
      </w:tr>
      <w:tr w:rsidR="00E1024E" w:rsidRPr="00F94EF8" w:rsidTr="00E1024E">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E1024E" w:rsidRPr="00F94EF8" w:rsidRDefault="00E1024E" w:rsidP="00E1024E">
            <w:pPr>
              <w:spacing w:after="0" w:line="240" w:lineRule="auto"/>
              <w:jc w:val="both"/>
              <w:rPr>
                <w:rFonts w:ascii="Arial Narrow" w:eastAsia="Times New Roman" w:hAnsi="Arial Narrow" w:cs="Times New Roman"/>
                <w:sz w:val="18"/>
                <w:szCs w:val="18"/>
                <w:lang w:eastAsia="es-MX"/>
              </w:rPr>
            </w:pPr>
            <w:r w:rsidRPr="00F94EF8">
              <w:rPr>
                <w:rFonts w:ascii="Arial Narrow" w:eastAsia="Times New Roman" w:hAnsi="Arial Narrow" w:cs="Times New Roman"/>
                <w:sz w:val="18"/>
                <w:szCs w:val="18"/>
                <w:lang w:val="es-AR" w:eastAsia="es-MX"/>
              </w:rPr>
              <w:t>GOLFO CENTRO</w:t>
            </w:r>
          </w:p>
        </w:tc>
        <w:tc>
          <w:tcPr>
            <w:tcW w:w="0" w:type="auto"/>
            <w:tcBorders>
              <w:top w:val="nil"/>
              <w:left w:val="nil"/>
              <w:bottom w:val="single" w:sz="8" w:space="0" w:color="FFFFFF"/>
              <w:right w:val="single" w:sz="8" w:space="0" w:color="auto"/>
            </w:tcBorders>
            <w:shd w:val="clear" w:color="auto" w:fill="auto"/>
            <w:vAlign w:val="center"/>
            <w:hideMark/>
          </w:tcPr>
          <w:p w:rsidR="00E1024E" w:rsidRPr="00F94EF8" w:rsidRDefault="00E1024E" w:rsidP="00E1024E">
            <w:pPr>
              <w:spacing w:after="0" w:line="240" w:lineRule="auto"/>
              <w:jc w:val="center"/>
              <w:rPr>
                <w:rFonts w:ascii="Arial Narrow" w:eastAsia="Times New Roman" w:hAnsi="Arial Narrow" w:cs="Times New Roman"/>
                <w:sz w:val="18"/>
                <w:szCs w:val="18"/>
                <w:lang w:eastAsia="es-MX"/>
              </w:rPr>
            </w:pPr>
            <w:r w:rsidRPr="00F94EF8">
              <w:rPr>
                <w:rFonts w:ascii="Arial Narrow" w:eastAsia="Times New Roman" w:hAnsi="Arial Narrow" w:cs="Times New Roman"/>
                <w:sz w:val="18"/>
                <w:szCs w:val="18"/>
                <w:lang w:eastAsia="es-MX"/>
              </w:rPr>
              <w:t>0.57</w:t>
            </w:r>
          </w:p>
        </w:tc>
        <w:tc>
          <w:tcPr>
            <w:tcW w:w="0" w:type="auto"/>
            <w:tcBorders>
              <w:top w:val="nil"/>
              <w:left w:val="nil"/>
              <w:bottom w:val="single" w:sz="8" w:space="0" w:color="FFFFFF"/>
              <w:right w:val="single" w:sz="8" w:space="0" w:color="auto"/>
            </w:tcBorders>
            <w:shd w:val="clear" w:color="auto" w:fill="auto"/>
            <w:vAlign w:val="center"/>
            <w:hideMark/>
          </w:tcPr>
          <w:p w:rsidR="00E1024E" w:rsidRPr="00F94EF8" w:rsidRDefault="00E1024E" w:rsidP="00E1024E">
            <w:pPr>
              <w:spacing w:after="0" w:line="240" w:lineRule="auto"/>
              <w:jc w:val="center"/>
              <w:rPr>
                <w:rFonts w:ascii="Arial Narrow" w:eastAsia="Times New Roman" w:hAnsi="Arial Narrow" w:cs="Times New Roman"/>
                <w:sz w:val="18"/>
                <w:szCs w:val="18"/>
                <w:lang w:eastAsia="es-MX"/>
              </w:rPr>
            </w:pPr>
            <w:r w:rsidRPr="00F94EF8">
              <w:rPr>
                <w:rFonts w:ascii="Arial Narrow" w:eastAsia="Times New Roman" w:hAnsi="Arial Narrow" w:cs="Times New Roman"/>
                <w:sz w:val="18"/>
                <w:szCs w:val="18"/>
                <w:lang w:eastAsia="es-MX"/>
              </w:rPr>
              <w:t>0.63</w:t>
            </w:r>
          </w:p>
        </w:tc>
      </w:tr>
      <w:tr w:rsidR="00E1024E" w:rsidRPr="00F94EF8" w:rsidTr="00E1024E">
        <w:trPr>
          <w:trHeight w:val="20"/>
          <w:jc w:val="center"/>
        </w:trPr>
        <w:tc>
          <w:tcPr>
            <w:tcW w:w="0" w:type="auto"/>
            <w:tcBorders>
              <w:top w:val="nil"/>
              <w:left w:val="single" w:sz="8" w:space="0" w:color="auto"/>
              <w:bottom w:val="nil"/>
              <w:right w:val="single" w:sz="8" w:space="0" w:color="auto"/>
            </w:tcBorders>
            <w:shd w:val="clear" w:color="auto" w:fill="auto"/>
            <w:vAlign w:val="center"/>
            <w:hideMark/>
          </w:tcPr>
          <w:p w:rsidR="00E1024E" w:rsidRPr="00F94EF8" w:rsidRDefault="00E1024E" w:rsidP="00E1024E">
            <w:pPr>
              <w:spacing w:after="0" w:line="240" w:lineRule="auto"/>
              <w:jc w:val="both"/>
              <w:rPr>
                <w:rFonts w:ascii="Arial Narrow" w:eastAsia="Times New Roman" w:hAnsi="Arial Narrow" w:cs="Times New Roman"/>
                <w:sz w:val="18"/>
                <w:szCs w:val="18"/>
                <w:lang w:eastAsia="es-MX"/>
              </w:rPr>
            </w:pPr>
            <w:r w:rsidRPr="00F94EF8">
              <w:rPr>
                <w:rFonts w:ascii="Arial Narrow" w:eastAsia="Times New Roman" w:hAnsi="Arial Narrow" w:cs="Times New Roman"/>
                <w:sz w:val="18"/>
                <w:szCs w:val="18"/>
                <w:lang w:val="es-AR" w:eastAsia="es-MX"/>
              </w:rPr>
              <w:t>VALLE MEXICO NTE</w:t>
            </w:r>
          </w:p>
        </w:tc>
        <w:tc>
          <w:tcPr>
            <w:tcW w:w="0" w:type="auto"/>
            <w:tcBorders>
              <w:top w:val="nil"/>
              <w:left w:val="nil"/>
              <w:bottom w:val="nil"/>
              <w:right w:val="single" w:sz="8" w:space="0" w:color="auto"/>
            </w:tcBorders>
            <w:shd w:val="clear" w:color="auto" w:fill="auto"/>
            <w:vAlign w:val="center"/>
            <w:hideMark/>
          </w:tcPr>
          <w:p w:rsidR="00E1024E" w:rsidRPr="00F94EF8" w:rsidRDefault="00E1024E" w:rsidP="00E1024E">
            <w:pPr>
              <w:spacing w:after="0" w:line="240" w:lineRule="auto"/>
              <w:jc w:val="center"/>
              <w:rPr>
                <w:rFonts w:ascii="Arial Narrow" w:eastAsia="Times New Roman" w:hAnsi="Arial Narrow" w:cs="Times New Roman"/>
                <w:sz w:val="18"/>
                <w:szCs w:val="18"/>
                <w:lang w:eastAsia="es-MX"/>
              </w:rPr>
            </w:pPr>
            <w:r w:rsidRPr="00F94EF8">
              <w:rPr>
                <w:rFonts w:ascii="Arial Narrow" w:eastAsia="Times New Roman" w:hAnsi="Arial Narrow" w:cs="Times New Roman"/>
                <w:sz w:val="18"/>
                <w:szCs w:val="18"/>
                <w:lang w:eastAsia="es-MX"/>
              </w:rPr>
              <w:t>0.47</w:t>
            </w:r>
          </w:p>
        </w:tc>
        <w:tc>
          <w:tcPr>
            <w:tcW w:w="0" w:type="auto"/>
            <w:tcBorders>
              <w:top w:val="nil"/>
              <w:left w:val="nil"/>
              <w:bottom w:val="nil"/>
              <w:right w:val="single" w:sz="8" w:space="0" w:color="auto"/>
            </w:tcBorders>
            <w:shd w:val="clear" w:color="auto" w:fill="auto"/>
            <w:vAlign w:val="center"/>
            <w:hideMark/>
          </w:tcPr>
          <w:p w:rsidR="00E1024E" w:rsidRPr="00F94EF8" w:rsidRDefault="00E1024E" w:rsidP="00E1024E">
            <w:pPr>
              <w:spacing w:after="0" w:line="240" w:lineRule="auto"/>
              <w:jc w:val="center"/>
              <w:rPr>
                <w:rFonts w:ascii="Arial Narrow" w:eastAsia="Times New Roman" w:hAnsi="Arial Narrow" w:cs="Times New Roman"/>
                <w:sz w:val="18"/>
                <w:szCs w:val="18"/>
                <w:lang w:eastAsia="es-MX"/>
              </w:rPr>
            </w:pPr>
            <w:r w:rsidRPr="00F94EF8">
              <w:rPr>
                <w:rFonts w:ascii="Arial Narrow" w:eastAsia="Times New Roman" w:hAnsi="Arial Narrow" w:cs="Times New Roman"/>
                <w:sz w:val="18"/>
                <w:szCs w:val="18"/>
                <w:lang w:eastAsia="es-MX"/>
              </w:rPr>
              <w:t>0.56</w:t>
            </w:r>
          </w:p>
        </w:tc>
      </w:tr>
      <w:tr w:rsidR="00E1024E" w:rsidRPr="00F94EF8" w:rsidTr="00E1024E">
        <w:trPr>
          <w:trHeight w:val="20"/>
          <w:jc w:val="center"/>
        </w:trPr>
        <w:tc>
          <w:tcPr>
            <w:tcW w:w="0" w:type="auto"/>
            <w:tcBorders>
              <w:top w:val="nil"/>
              <w:left w:val="single" w:sz="8" w:space="0" w:color="auto"/>
              <w:bottom w:val="nil"/>
              <w:right w:val="single" w:sz="8" w:space="0" w:color="auto"/>
            </w:tcBorders>
            <w:shd w:val="clear" w:color="auto" w:fill="auto"/>
            <w:vAlign w:val="center"/>
            <w:hideMark/>
          </w:tcPr>
          <w:p w:rsidR="00E1024E" w:rsidRPr="00F94EF8" w:rsidRDefault="00E1024E" w:rsidP="00E1024E">
            <w:pPr>
              <w:spacing w:after="0" w:line="240" w:lineRule="auto"/>
              <w:jc w:val="both"/>
              <w:rPr>
                <w:rFonts w:ascii="Arial Narrow" w:eastAsia="Times New Roman" w:hAnsi="Arial Narrow" w:cs="Times New Roman"/>
                <w:sz w:val="18"/>
                <w:szCs w:val="18"/>
                <w:lang w:eastAsia="es-MX"/>
              </w:rPr>
            </w:pPr>
            <w:r w:rsidRPr="00F94EF8">
              <w:rPr>
                <w:rFonts w:ascii="Arial Narrow" w:eastAsia="Times New Roman" w:hAnsi="Arial Narrow" w:cs="Times New Roman"/>
                <w:sz w:val="18"/>
                <w:szCs w:val="18"/>
                <w:lang w:eastAsia="es-MX"/>
              </w:rPr>
              <w:t>VALLE MEXICO CENT</w:t>
            </w:r>
          </w:p>
        </w:tc>
        <w:tc>
          <w:tcPr>
            <w:tcW w:w="0" w:type="auto"/>
            <w:tcBorders>
              <w:top w:val="nil"/>
              <w:left w:val="nil"/>
              <w:bottom w:val="nil"/>
              <w:right w:val="single" w:sz="8" w:space="0" w:color="auto"/>
            </w:tcBorders>
            <w:shd w:val="clear" w:color="auto" w:fill="auto"/>
            <w:vAlign w:val="center"/>
            <w:hideMark/>
          </w:tcPr>
          <w:p w:rsidR="00E1024E" w:rsidRPr="00F94EF8" w:rsidRDefault="00E1024E" w:rsidP="00E1024E">
            <w:pPr>
              <w:spacing w:after="0" w:line="240" w:lineRule="auto"/>
              <w:jc w:val="center"/>
              <w:rPr>
                <w:rFonts w:ascii="Arial Narrow" w:eastAsia="Times New Roman" w:hAnsi="Arial Narrow" w:cs="Times New Roman"/>
                <w:sz w:val="18"/>
                <w:szCs w:val="18"/>
                <w:lang w:eastAsia="es-MX"/>
              </w:rPr>
            </w:pPr>
            <w:r w:rsidRPr="00F94EF8">
              <w:rPr>
                <w:rFonts w:ascii="Arial Narrow" w:eastAsia="Times New Roman" w:hAnsi="Arial Narrow" w:cs="Times New Roman"/>
                <w:sz w:val="18"/>
                <w:szCs w:val="18"/>
                <w:lang w:eastAsia="es-MX"/>
              </w:rPr>
              <w:t>0.35</w:t>
            </w:r>
          </w:p>
        </w:tc>
        <w:tc>
          <w:tcPr>
            <w:tcW w:w="0" w:type="auto"/>
            <w:tcBorders>
              <w:top w:val="nil"/>
              <w:left w:val="nil"/>
              <w:bottom w:val="nil"/>
              <w:right w:val="single" w:sz="8" w:space="0" w:color="auto"/>
            </w:tcBorders>
            <w:shd w:val="clear" w:color="auto" w:fill="auto"/>
            <w:vAlign w:val="center"/>
            <w:hideMark/>
          </w:tcPr>
          <w:p w:rsidR="00E1024E" w:rsidRPr="00F94EF8" w:rsidRDefault="00E1024E" w:rsidP="00E1024E">
            <w:pPr>
              <w:spacing w:after="0" w:line="240" w:lineRule="auto"/>
              <w:jc w:val="center"/>
              <w:rPr>
                <w:rFonts w:ascii="Arial Narrow" w:eastAsia="Times New Roman" w:hAnsi="Arial Narrow" w:cs="Times New Roman"/>
                <w:sz w:val="18"/>
                <w:szCs w:val="18"/>
                <w:lang w:eastAsia="es-MX"/>
              </w:rPr>
            </w:pPr>
            <w:r w:rsidRPr="00F94EF8">
              <w:rPr>
                <w:rFonts w:ascii="Arial Narrow" w:eastAsia="Times New Roman" w:hAnsi="Arial Narrow" w:cs="Times New Roman"/>
                <w:sz w:val="18"/>
                <w:szCs w:val="18"/>
                <w:lang w:eastAsia="es-MX"/>
              </w:rPr>
              <w:t>0.46</w:t>
            </w:r>
          </w:p>
        </w:tc>
      </w:tr>
      <w:tr w:rsidR="00E1024E" w:rsidRPr="00F94EF8" w:rsidTr="00E1024E">
        <w:trPr>
          <w:trHeight w:val="20"/>
          <w:jc w:val="center"/>
        </w:trPr>
        <w:tc>
          <w:tcPr>
            <w:tcW w:w="0" w:type="auto"/>
            <w:tcBorders>
              <w:top w:val="nil"/>
              <w:left w:val="single" w:sz="8" w:space="0" w:color="auto"/>
              <w:bottom w:val="nil"/>
              <w:right w:val="single" w:sz="8" w:space="0" w:color="auto"/>
            </w:tcBorders>
            <w:shd w:val="clear" w:color="auto" w:fill="auto"/>
            <w:vAlign w:val="center"/>
            <w:hideMark/>
          </w:tcPr>
          <w:p w:rsidR="00E1024E" w:rsidRPr="00F94EF8" w:rsidRDefault="00E1024E" w:rsidP="00E1024E">
            <w:pPr>
              <w:spacing w:after="0" w:line="240" w:lineRule="auto"/>
              <w:jc w:val="both"/>
              <w:rPr>
                <w:rFonts w:ascii="Arial Narrow" w:eastAsia="Times New Roman" w:hAnsi="Arial Narrow" w:cs="Times New Roman"/>
                <w:sz w:val="18"/>
                <w:szCs w:val="18"/>
                <w:lang w:eastAsia="es-MX"/>
              </w:rPr>
            </w:pPr>
            <w:r w:rsidRPr="00F94EF8">
              <w:rPr>
                <w:rFonts w:ascii="Arial Narrow" w:eastAsia="Times New Roman" w:hAnsi="Arial Narrow" w:cs="Times New Roman"/>
                <w:sz w:val="18"/>
                <w:szCs w:val="18"/>
                <w:lang w:eastAsia="es-MX"/>
              </w:rPr>
              <w:t>VALLE MEXICO SUR</w:t>
            </w:r>
          </w:p>
        </w:tc>
        <w:tc>
          <w:tcPr>
            <w:tcW w:w="0" w:type="auto"/>
            <w:tcBorders>
              <w:top w:val="nil"/>
              <w:left w:val="nil"/>
              <w:bottom w:val="nil"/>
              <w:right w:val="single" w:sz="8" w:space="0" w:color="auto"/>
            </w:tcBorders>
            <w:shd w:val="clear" w:color="auto" w:fill="auto"/>
            <w:vAlign w:val="center"/>
            <w:hideMark/>
          </w:tcPr>
          <w:p w:rsidR="00E1024E" w:rsidRPr="00F94EF8" w:rsidRDefault="00E1024E" w:rsidP="00E1024E">
            <w:pPr>
              <w:spacing w:after="0" w:line="240" w:lineRule="auto"/>
              <w:jc w:val="center"/>
              <w:rPr>
                <w:rFonts w:ascii="Arial Narrow" w:eastAsia="Times New Roman" w:hAnsi="Arial Narrow" w:cs="Times New Roman"/>
                <w:sz w:val="18"/>
                <w:szCs w:val="18"/>
                <w:lang w:eastAsia="es-MX"/>
              </w:rPr>
            </w:pPr>
            <w:r w:rsidRPr="00F94EF8">
              <w:rPr>
                <w:rFonts w:ascii="Arial Narrow" w:eastAsia="Times New Roman" w:hAnsi="Arial Narrow" w:cs="Times New Roman"/>
                <w:sz w:val="18"/>
                <w:szCs w:val="18"/>
                <w:lang w:eastAsia="es-MX"/>
              </w:rPr>
              <w:t>0.36</w:t>
            </w:r>
          </w:p>
        </w:tc>
        <w:tc>
          <w:tcPr>
            <w:tcW w:w="0" w:type="auto"/>
            <w:tcBorders>
              <w:top w:val="nil"/>
              <w:left w:val="nil"/>
              <w:bottom w:val="nil"/>
              <w:right w:val="single" w:sz="8" w:space="0" w:color="auto"/>
            </w:tcBorders>
            <w:shd w:val="clear" w:color="auto" w:fill="auto"/>
            <w:vAlign w:val="center"/>
            <w:hideMark/>
          </w:tcPr>
          <w:p w:rsidR="00E1024E" w:rsidRPr="00F94EF8" w:rsidRDefault="00E1024E" w:rsidP="00E1024E">
            <w:pPr>
              <w:spacing w:after="0" w:line="240" w:lineRule="auto"/>
              <w:jc w:val="center"/>
              <w:rPr>
                <w:rFonts w:ascii="Arial Narrow" w:eastAsia="Times New Roman" w:hAnsi="Arial Narrow" w:cs="Times New Roman"/>
                <w:sz w:val="18"/>
                <w:szCs w:val="18"/>
                <w:lang w:eastAsia="es-MX"/>
              </w:rPr>
            </w:pPr>
            <w:r w:rsidRPr="00F94EF8">
              <w:rPr>
                <w:rFonts w:ascii="Arial Narrow" w:eastAsia="Times New Roman" w:hAnsi="Arial Narrow" w:cs="Times New Roman"/>
                <w:sz w:val="18"/>
                <w:szCs w:val="18"/>
                <w:lang w:eastAsia="es-MX"/>
              </w:rPr>
              <w:t>0.46</w:t>
            </w:r>
          </w:p>
        </w:tc>
      </w:tr>
      <w:tr w:rsidR="00E1024E" w:rsidRPr="00F94EF8" w:rsidTr="00E1024E">
        <w:trPr>
          <w:trHeight w:val="2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E1024E" w:rsidRPr="00F94EF8" w:rsidRDefault="00E1024E" w:rsidP="00E1024E">
            <w:pPr>
              <w:spacing w:after="0" w:line="240" w:lineRule="auto"/>
              <w:jc w:val="both"/>
              <w:rPr>
                <w:rFonts w:ascii="Arial Narrow" w:eastAsia="Times New Roman" w:hAnsi="Arial Narrow" w:cs="Times New Roman"/>
                <w:b/>
                <w:bCs/>
                <w:color w:val="000000"/>
                <w:sz w:val="18"/>
                <w:szCs w:val="18"/>
                <w:lang w:eastAsia="es-MX"/>
              </w:rPr>
            </w:pPr>
            <w:r w:rsidRPr="00F94EF8">
              <w:rPr>
                <w:rFonts w:ascii="Arial Narrow" w:eastAsia="Times New Roman" w:hAnsi="Arial Narrow" w:cs="Times New Roman"/>
                <w:b/>
                <w:bCs/>
                <w:color w:val="000000"/>
                <w:sz w:val="18"/>
                <w:szCs w:val="18"/>
                <w:lang w:val="es-AR" w:eastAsia="es-MX"/>
              </w:rPr>
              <w:t>Promedio</w:t>
            </w:r>
          </w:p>
        </w:tc>
        <w:tc>
          <w:tcPr>
            <w:tcW w:w="0" w:type="auto"/>
            <w:tcBorders>
              <w:top w:val="nil"/>
              <w:left w:val="nil"/>
              <w:bottom w:val="single" w:sz="8" w:space="0" w:color="auto"/>
              <w:right w:val="single" w:sz="8" w:space="0" w:color="auto"/>
            </w:tcBorders>
            <w:shd w:val="clear" w:color="auto" w:fill="auto"/>
            <w:vAlign w:val="center"/>
            <w:hideMark/>
          </w:tcPr>
          <w:p w:rsidR="00E1024E" w:rsidRPr="00F94EF8" w:rsidRDefault="00E1024E" w:rsidP="00E1024E">
            <w:pPr>
              <w:spacing w:after="0" w:line="240" w:lineRule="auto"/>
              <w:jc w:val="center"/>
              <w:rPr>
                <w:rFonts w:ascii="Arial Narrow" w:eastAsia="Times New Roman" w:hAnsi="Arial Narrow" w:cs="Times New Roman"/>
                <w:b/>
                <w:bCs/>
                <w:color w:val="000000"/>
                <w:sz w:val="18"/>
                <w:szCs w:val="18"/>
                <w:lang w:eastAsia="es-MX"/>
              </w:rPr>
            </w:pPr>
            <w:r w:rsidRPr="00F94EF8">
              <w:rPr>
                <w:rFonts w:ascii="Arial Narrow" w:eastAsia="Times New Roman" w:hAnsi="Arial Narrow" w:cs="Times New Roman"/>
                <w:b/>
                <w:bCs/>
                <w:color w:val="000000"/>
                <w:sz w:val="18"/>
                <w:szCs w:val="18"/>
                <w:lang w:eastAsia="es-MX"/>
              </w:rPr>
              <w:t>0.59</w:t>
            </w:r>
          </w:p>
        </w:tc>
        <w:tc>
          <w:tcPr>
            <w:tcW w:w="0" w:type="auto"/>
            <w:tcBorders>
              <w:top w:val="nil"/>
              <w:left w:val="nil"/>
              <w:bottom w:val="single" w:sz="8" w:space="0" w:color="auto"/>
              <w:right w:val="single" w:sz="8" w:space="0" w:color="auto"/>
            </w:tcBorders>
            <w:shd w:val="clear" w:color="auto" w:fill="auto"/>
            <w:vAlign w:val="center"/>
            <w:hideMark/>
          </w:tcPr>
          <w:p w:rsidR="00E1024E" w:rsidRPr="00F94EF8" w:rsidRDefault="00E1024E" w:rsidP="00E1024E">
            <w:pPr>
              <w:spacing w:after="0" w:line="240" w:lineRule="auto"/>
              <w:jc w:val="center"/>
              <w:rPr>
                <w:rFonts w:ascii="Arial Narrow" w:eastAsia="Times New Roman" w:hAnsi="Arial Narrow" w:cs="Times New Roman"/>
                <w:b/>
                <w:bCs/>
                <w:color w:val="000000"/>
                <w:sz w:val="18"/>
                <w:szCs w:val="18"/>
                <w:lang w:eastAsia="es-MX"/>
              </w:rPr>
            </w:pPr>
            <w:r w:rsidRPr="00F94EF8">
              <w:rPr>
                <w:rFonts w:ascii="Arial Narrow" w:eastAsia="Times New Roman" w:hAnsi="Arial Narrow" w:cs="Times New Roman"/>
                <w:b/>
                <w:bCs/>
                <w:color w:val="000000"/>
                <w:sz w:val="18"/>
                <w:szCs w:val="18"/>
                <w:lang w:eastAsia="es-MX"/>
              </w:rPr>
              <w:t>0.67</w:t>
            </w:r>
          </w:p>
        </w:tc>
      </w:tr>
    </w:tbl>
    <w:p w:rsidR="00F94EF8" w:rsidRDefault="00F94EF8" w:rsidP="00814C47">
      <w:pPr>
        <w:kinsoku w:val="0"/>
        <w:overflowPunct w:val="0"/>
        <w:spacing w:line="240" w:lineRule="auto"/>
        <w:contextualSpacing/>
        <w:jc w:val="both"/>
        <w:textAlignment w:val="baseline"/>
        <w:rPr>
          <w:rFonts w:ascii="Arial Narrow" w:hAnsi="Arial Narrow"/>
        </w:rPr>
      </w:pPr>
    </w:p>
    <w:p w:rsidR="003837E4" w:rsidRDefault="00F94EF8" w:rsidP="003837E4">
      <w:pPr>
        <w:kinsoku w:val="0"/>
        <w:overflowPunct w:val="0"/>
        <w:spacing w:line="240" w:lineRule="auto"/>
        <w:contextualSpacing/>
        <w:jc w:val="both"/>
        <w:textAlignment w:val="baseline"/>
        <w:rPr>
          <w:rFonts w:ascii="Arial Narrow" w:eastAsiaTheme="minorEastAsia" w:hAnsi="Arial Narrow" w:cs="Helvetica"/>
          <w:color w:val="262626"/>
          <w:lang w:val="es-AR" w:eastAsia="es-MX"/>
        </w:rPr>
      </w:pPr>
      <w:r>
        <w:rPr>
          <w:rFonts w:ascii="Arial Narrow" w:hAnsi="Arial Narrow"/>
        </w:rPr>
        <w:t xml:space="preserve">Para ajustar los porcentajes de eficiencia se </w:t>
      </w:r>
      <w:r w:rsidR="003837E4">
        <w:rPr>
          <w:rFonts w:ascii="Arial Narrow" w:hAnsi="Arial Narrow"/>
          <w:lang w:val="es-UY"/>
        </w:rPr>
        <w:t>consideró</w:t>
      </w:r>
      <w:r w:rsidR="00AE79F5" w:rsidRPr="00814C47">
        <w:rPr>
          <w:rFonts w:ascii="Arial Narrow" w:hAnsi="Arial Narrow"/>
          <w:lang w:val="es-UY"/>
        </w:rPr>
        <w:t xml:space="preserve"> como punto de partida los resultados obtenidos con SFA y se normalizaron los </w:t>
      </w:r>
      <w:r w:rsidR="00A34C2E" w:rsidRPr="00A34C2E">
        <w:rPr>
          <w:rFonts w:ascii="Arial Narrow" w:hAnsi="Arial Narrow"/>
          <w:lang w:val="es-UY"/>
        </w:rPr>
        <w:t>puntajes</w:t>
      </w:r>
      <w:r w:rsidR="00AE79F5" w:rsidRPr="00A34C2E">
        <w:rPr>
          <w:rFonts w:ascii="Arial Narrow" w:hAnsi="Arial Narrow"/>
          <w:lang w:val="es-UY"/>
        </w:rPr>
        <w:t xml:space="preserve"> </w:t>
      </w:r>
      <w:r w:rsidR="00AE79F5" w:rsidRPr="00814C47">
        <w:rPr>
          <w:rFonts w:ascii="Arial Narrow" w:hAnsi="Arial Narrow"/>
          <w:lang w:val="es-UY"/>
        </w:rPr>
        <w:t xml:space="preserve">de eficiencia considerando que las </w:t>
      </w:r>
      <w:r w:rsidR="001F28F7">
        <w:rPr>
          <w:rFonts w:ascii="Arial Narrow" w:hAnsi="Arial Narrow"/>
          <w:lang w:val="es-UY"/>
        </w:rPr>
        <w:t>divisiones de Distribución</w:t>
      </w:r>
      <w:r w:rsidR="00AE79F5" w:rsidRPr="00814C47">
        <w:rPr>
          <w:rFonts w:ascii="Arial Narrow" w:hAnsi="Arial Narrow"/>
          <w:lang w:val="es-UY"/>
        </w:rPr>
        <w:t xml:space="preserve"> con</w:t>
      </w:r>
      <w:r w:rsidR="00AE79F5" w:rsidRPr="00A34C2E">
        <w:rPr>
          <w:rFonts w:ascii="Arial Narrow" w:hAnsi="Arial Narrow"/>
          <w:lang w:val="es-UY"/>
        </w:rPr>
        <w:t xml:space="preserve"> </w:t>
      </w:r>
      <w:r w:rsidR="00A34C2E" w:rsidRPr="00A34C2E">
        <w:rPr>
          <w:rFonts w:ascii="Arial Narrow" w:hAnsi="Arial Narrow"/>
          <w:lang w:val="es-UY"/>
        </w:rPr>
        <w:t>puntajes</w:t>
      </w:r>
      <w:r w:rsidR="00AE79F5" w:rsidRPr="00814C47">
        <w:rPr>
          <w:rFonts w:ascii="Arial Narrow" w:hAnsi="Arial Narrow"/>
          <w:lang w:val="es-UY"/>
        </w:rPr>
        <w:t xml:space="preserve"> mayores a .8 son eficientes, es decir toman el valor de 1. </w:t>
      </w:r>
      <w:r>
        <w:rPr>
          <w:rFonts w:ascii="Arial Narrow" w:hAnsi="Arial Narrow"/>
          <w:lang w:val="es-UY"/>
        </w:rPr>
        <w:t>En este caso,</w:t>
      </w:r>
      <w:r w:rsidR="00AE79F5" w:rsidRPr="00814C47">
        <w:rPr>
          <w:rFonts w:ascii="Arial Narrow" w:eastAsiaTheme="minorEastAsia" w:hAnsi="Arial Narrow" w:cs="Helvetica"/>
          <w:color w:val="262626"/>
          <w:lang w:val="es-AR" w:eastAsia="es-MX"/>
        </w:rPr>
        <w:t xml:space="preserve"> en</w:t>
      </w:r>
      <w:r>
        <w:rPr>
          <w:rFonts w:ascii="Arial Narrow" w:eastAsiaTheme="minorEastAsia" w:hAnsi="Arial Narrow" w:cs="Helvetica"/>
          <w:color w:val="262626"/>
          <w:lang w:val="es-AR" w:eastAsia="es-MX"/>
        </w:rPr>
        <w:t xml:space="preserve"> el análisis de eficiencia no fue</w:t>
      </w:r>
      <w:r w:rsidR="00AE79F5" w:rsidRPr="00814C47">
        <w:rPr>
          <w:rFonts w:ascii="Arial Narrow" w:eastAsiaTheme="minorEastAsia" w:hAnsi="Arial Narrow" w:cs="Helvetica"/>
          <w:color w:val="262626"/>
          <w:lang w:val="es-AR" w:eastAsia="es-MX"/>
        </w:rPr>
        <w:t xml:space="preserve"> posible incorporar variables que afectan los costos y que no son gestionables (rigideces salariales y laborales, tiempos de desplazamiento, contaminación, vegetación, otras).</w:t>
      </w:r>
    </w:p>
    <w:p w:rsidR="001F28F7" w:rsidRDefault="001F28F7" w:rsidP="001F28F7">
      <w:pPr>
        <w:kinsoku w:val="0"/>
        <w:overflowPunct w:val="0"/>
        <w:spacing w:line="240" w:lineRule="auto"/>
        <w:contextualSpacing/>
        <w:jc w:val="both"/>
        <w:textAlignment w:val="baseline"/>
        <w:rPr>
          <w:rFonts w:ascii="Arial Narrow" w:hAnsi="Arial Narrow"/>
          <w:noProof/>
          <w:lang w:eastAsia="es-MX"/>
        </w:rPr>
      </w:pPr>
    </w:p>
    <w:p w:rsidR="001F28F7" w:rsidRPr="003837E4" w:rsidRDefault="001F28F7" w:rsidP="001F28F7">
      <w:pPr>
        <w:kinsoku w:val="0"/>
        <w:overflowPunct w:val="0"/>
        <w:spacing w:line="240" w:lineRule="auto"/>
        <w:contextualSpacing/>
        <w:jc w:val="both"/>
        <w:textAlignment w:val="baseline"/>
        <w:rPr>
          <w:rFonts w:ascii="Arial Narrow" w:eastAsia="Times New Roman" w:hAnsi="Arial Narrow" w:cs="Times New Roman"/>
          <w:color w:val="000000"/>
          <w:lang w:eastAsia="es-MX"/>
        </w:rPr>
      </w:pPr>
      <w:r w:rsidRPr="00814C47">
        <w:rPr>
          <w:rFonts w:ascii="Arial Narrow" w:hAnsi="Arial Narrow"/>
          <w:noProof/>
          <w:lang w:eastAsia="es-MX"/>
        </w:rPr>
        <w:t>Para determinar la cantidad de años</w:t>
      </w:r>
      <w:r>
        <w:rPr>
          <w:rFonts w:ascii="Arial Narrow" w:hAnsi="Arial Narrow"/>
          <w:noProof/>
          <w:lang w:eastAsia="es-MX"/>
        </w:rPr>
        <w:t xml:space="preserve"> en los que se planea llegar a ser una división eficiente en costos de explotación,</w:t>
      </w:r>
      <w:r w:rsidRPr="00814C47">
        <w:rPr>
          <w:rFonts w:ascii="Arial Narrow" w:hAnsi="Arial Narrow"/>
          <w:noProof/>
          <w:lang w:eastAsia="es-MX"/>
        </w:rPr>
        <w:t xml:space="preserve"> se consideraron l</w:t>
      </w:r>
      <w:r>
        <w:rPr>
          <w:rFonts w:ascii="Arial Narrow" w:hAnsi="Arial Narrow"/>
          <w:noProof/>
          <w:lang w:eastAsia="es-MX"/>
        </w:rPr>
        <w:t xml:space="preserve">os siguientes criterios tomando en cuenta </w:t>
      </w:r>
      <w:r w:rsidRPr="00814C47">
        <w:rPr>
          <w:rFonts w:ascii="Arial Narrow" w:hAnsi="Arial Narrow"/>
          <w:noProof/>
          <w:lang w:eastAsia="es-MX"/>
        </w:rPr>
        <w:t>un sendero de e</w:t>
      </w:r>
      <w:r>
        <w:rPr>
          <w:rFonts w:ascii="Arial Narrow" w:hAnsi="Arial Narrow"/>
          <w:noProof/>
          <w:lang w:eastAsia="es-MX"/>
        </w:rPr>
        <w:t>ficiencia realista para cada división de Distribución</w:t>
      </w:r>
    </w:p>
    <w:p w:rsidR="001F28F7" w:rsidRPr="00814C47" w:rsidRDefault="001F28F7" w:rsidP="001F28F7">
      <w:pPr>
        <w:pStyle w:val="Prrafodelista"/>
        <w:numPr>
          <w:ilvl w:val="0"/>
          <w:numId w:val="12"/>
        </w:numPr>
        <w:spacing w:after="0" w:line="240" w:lineRule="auto"/>
        <w:contextualSpacing w:val="0"/>
        <w:jc w:val="both"/>
        <w:rPr>
          <w:rFonts w:ascii="Arial Narrow" w:hAnsi="Arial Narrow"/>
          <w:lang w:val="es-UY"/>
        </w:rPr>
      </w:pPr>
      <w:r>
        <w:rPr>
          <w:rFonts w:ascii="Arial Narrow" w:hAnsi="Arial Narrow"/>
          <w:lang w:val="es-UY"/>
        </w:rPr>
        <w:t>Las divisiones de distribución</w:t>
      </w:r>
      <w:r w:rsidRPr="00814C47">
        <w:rPr>
          <w:rFonts w:ascii="Arial Narrow" w:hAnsi="Arial Narrow"/>
          <w:lang w:val="es-UY"/>
        </w:rPr>
        <w:t xml:space="preserve"> con valores de reducción total de costo</w:t>
      </w:r>
      <w:r>
        <w:rPr>
          <w:rFonts w:ascii="Arial Narrow" w:hAnsi="Arial Narrow"/>
          <w:lang w:val="es-UY"/>
        </w:rPr>
        <w:t>s hasta 10%, deben alcanzar la frontera de e</w:t>
      </w:r>
      <w:r w:rsidRPr="00814C47">
        <w:rPr>
          <w:rFonts w:ascii="Arial Narrow" w:hAnsi="Arial Narrow"/>
          <w:lang w:val="es-UY"/>
        </w:rPr>
        <w:t>ficiencia en 3 años.</w:t>
      </w:r>
    </w:p>
    <w:p w:rsidR="001F28F7" w:rsidRPr="00814C47" w:rsidRDefault="001F28F7" w:rsidP="001F28F7">
      <w:pPr>
        <w:pStyle w:val="Prrafodelista"/>
        <w:numPr>
          <w:ilvl w:val="0"/>
          <w:numId w:val="12"/>
        </w:numPr>
        <w:spacing w:after="0" w:line="240" w:lineRule="auto"/>
        <w:contextualSpacing w:val="0"/>
        <w:jc w:val="both"/>
        <w:rPr>
          <w:rFonts w:ascii="Arial Narrow" w:hAnsi="Arial Narrow"/>
          <w:lang w:val="es-UY"/>
        </w:rPr>
      </w:pPr>
      <w:r>
        <w:rPr>
          <w:rFonts w:ascii="Arial Narrow" w:hAnsi="Arial Narrow"/>
          <w:lang w:val="es-UY"/>
        </w:rPr>
        <w:t>Las divisiones de distribución</w:t>
      </w:r>
      <w:r w:rsidRPr="00814C47">
        <w:rPr>
          <w:rFonts w:ascii="Arial Narrow" w:hAnsi="Arial Narrow"/>
          <w:lang w:val="es-UY"/>
        </w:rPr>
        <w:t xml:space="preserve"> con valores de reducción total de costos mayores a 10% y me</w:t>
      </w:r>
      <w:r>
        <w:rPr>
          <w:rFonts w:ascii="Arial Narrow" w:hAnsi="Arial Narrow"/>
          <w:lang w:val="es-UY"/>
        </w:rPr>
        <w:t>nores a 21%, deben alcanzar la frontera de e</w:t>
      </w:r>
      <w:r w:rsidRPr="00814C47">
        <w:rPr>
          <w:rFonts w:ascii="Arial Narrow" w:hAnsi="Arial Narrow"/>
          <w:lang w:val="es-UY"/>
        </w:rPr>
        <w:t>ficiencia en 5 años.</w:t>
      </w:r>
    </w:p>
    <w:p w:rsidR="001F28F7" w:rsidRPr="00814C47" w:rsidRDefault="001F28F7" w:rsidP="001F28F7">
      <w:pPr>
        <w:pStyle w:val="Prrafodelista"/>
        <w:numPr>
          <w:ilvl w:val="0"/>
          <w:numId w:val="12"/>
        </w:numPr>
        <w:spacing w:after="0" w:line="240" w:lineRule="auto"/>
        <w:contextualSpacing w:val="0"/>
        <w:jc w:val="both"/>
        <w:rPr>
          <w:rFonts w:ascii="Arial Narrow" w:hAnsi="Arial Narrow"/>
          <w:lang w:val="es-UY"/>
        </w:rPr>
      </w:pPr>
      <w:r>
        <w:rPr>
          <w:rFonts w:ascii="Arial Narrow" w:hAnsi="Arial Narrow"/>
          <w:lang w:val="es-UY"/>
        </w:rPr>
        <w:t>Las divisiones de distribución</w:t>
      </w:r>
      <w:r w:rsidRPr="00814C47">
        <w:rPr>
          <w:rFonts w:ascii="Arial Narrow" w:hAnsi="Arial Narrow"/>
          <w:lang w:val="es-UY"/>
        </w:rPr>
        <w:t xml:space="preserve"> con valores de reducción total de costos mayores a 21% y menores 31%, deben alcan</w:t>
      </w:r>
      <w:r>
        <w:rPr>
          <w:rFonts w:ascii="Arial Narrow" w:hAnsi="Arial Narrow"/>
          <w:lang w:val="es-UY"/>
        </w:rPr>
        <w:t>zar la frontera de e</w:t>
      </w:r>
      <w:r w:rsidRPr="00814C47">
        <w:rPr>
          <w:rFonts w:ascii="Arial Narrow" w:hAnsi="Arial Narrow"/>
          <w:lang w:val="es-UY"/>
        </w:rPr>
        <w:t>ficiencia en 7 años.</w:t>
      </w:r>
    </w:p>
    <w:p w:rsidR="001F28F7" w:rsidRPr="001F28F7" w:rsidRDefault="001F28F7" w:rsidP="001F28F7">
      <w:pPr>
        <w:pStyle w:val="Prrafodelista"/>
        <w:numPr>
          <w:ilvl w:val="0"/>
          <w:numId w:val="12"/>
        </w:numPr>
        <w:spacing w:after="0" w:line="240" w:lineRule="auto"/>
        <w:contextualSpacing w:val="0"/>
        <w:jc w:val="both"/>
        <w:rPr>
          <w:rFonts w:ascii="Arial Narrow" w:hAnsi="Arial Narrow"/>
          <w:lang w:val="es-UY"/>
        </w:rPr>
      </w:pPr>
      <w:r>
        <w:rPr>
          <w:rFonts w:ascii="Arial Narrow" w:hAnsi="Arial Narrow"/>
          <w:lang w:val="es-UY"/>
        </w:rPr>
        <w:t>Las divisiones de distribución</w:t>
      </w:r>
      <w:r w:rsidRPr="00814C47">
        <w:rPr>
          <w:rFonts w:ascii="Arial Narrow" w:hAnsi="Arial Narrow"/>
          <w:lang w:val="es-UY"/>
        </w:rPr>
        <w:t xml:space="preserve"> con valores de reducción total de costos ma</w:t>
      </w:r>
      <w:r>
        <w:rPr>
          <w:rFonts w:ascii="Arial Narrow" w:hAnsi="Arial Narrow"/>
          <w:lang w:val="es-UY"/>
        </w:rPr>
        <w:t>yores a 31%, deben alcanzar la frontera de e</w:t>
      </w:r>
      <w:r w:rsidRPr="00814C47">
        <w:rPr>
          <w:rFonts w:ascii="Arial Narrow" w:hAnsi="Arial Narrow"/>
          <w:lang w:val="es-UY"/>
        </w:rPr>
        <w:t>ficiencia en 9 años</w:t>
      </w:r>
    </w:p>
    <w:p w:rsidR="003837E4" w:rsidRDefault="003837E4" w:rsidP="003837E4">
      <w:pPr>
        <w:kinsoku w:val="0"/>
        <w:overflowPunct w:val="0"/>
        <w:spacing w:line="240" w:lineRule="auto"/>
        <w:contextualSpacing/>
        <w:jc w:val="both"/>
        <w:textAlignment w:val="baseline"/>
        <w:rPr>
          <w:rFonts w:ascii="Arial Narrow" w:eastAsia="Times New Roman" w:hAnsi="Arial Narrow" w:cs="Times New Roman"/>
          <w:color w:val="000000"/>
          <w:lang w:eastAsia="es-MX"/>
        </w:rPr>
      </w:pPr>
    </w:p>
    <w:p w:rsidR="0018648A" w:rsidRPr="00814C47" w:rsidRDefault="00AE79F5" w:rsidP="001F28F7">
      <w:pPr>
        <w:kinsoku w:val="0"/>
        <w:overflowPunct w:val="0"/>
        <w:spacing w:line="240" w:lineRule="auto"/>
        <w:contextualSpacing/>
        <w:jc w:val="both"/>
        <w:textAlignment w:val="baseline"/>
        <w:rPr>
          <w:rFonts w:ascii="Arial Narrow" w:hAnsi="Arial Narrow"/>
          <w:lang w:val="es-UY"/>
        </w:rPr>
      </w:pPr>
      <w:r w:rsidRPr="00814C47">
        <w:rPr>
          <w:rFonts w:ascii="Arial Narrow" w:hAnsi="Arial Narrow"/>
          <w:noProof/>
          <w:lang w:eastAsia="es-MX"/>
        </w:rPr>
        <w:t>En la tabla siguiente se muestran los resultad</w:t>
      </w:r>
      <w:r w:rsidR="001F28F7">
        <w:rPr>
          <w:rFonts w:ascii="Arial Narrow" w:hAnsi="Arial Narrow"/>
          <w:noProof/>
          <w:lang w:eastAsia="es-MX"/>
        </w:rPr>
        <w:t xml:space="preserve">os finales obtenidos para cada división de Distribución. </w:t>
      </w:r>
      <w:r w:rsidRPr="00814C47">
        <w:rPr>
          <w:rFonts w:ascii="Arial Narrow" w:hAnsi="Arial Narrow"/>
          <w:noProof/>
          <w:lang w:eastAsia="es-MX"/>
        </w:rPr>
        <w:t>En primer</w:t>
      </w:r>
      <w:r w:rsidR="003837E4">
        <w:rPr>
          <w:rFonts w:ascii="Arial Narrow" w:hAnsi="Arial Narrow"/>
          <w:noProof/>
          <w:lang w:eastAsia="es-MX"/>
        </w:rPr>
        <w:t xml:space="preserve"> lugar</w:t>
      </w:r>
      <w:r w:rsidRPr="00814C47">
        <w:rPr>
          <w:rFonts w:ascii="Arial Narrow" w:hAnsi="Arial Narrow"/>
          <w:noProof/>
          <w:lang w:eastAsia="es-MX"/>
        </w:rPr>
        <w:t xml:space="preserve"> se muestra el </w:t>
      </w:r>
      <w:r w:rsidR="00A34C2E" w:rsidRPr="0096062C">
        <w:rPr>
          <w:rFonts w:ascii="Arial Narrow" w:hAnsi="Arial Narrow"/>
          <w:noProof/>
          <w:lang w:eastAsia="es-MX"/>
        </w:rPr>
        <w:t>puntaje</w:t>
      </w:r>
      <w:r w:rsidR="003837E4" w:rsidRPr="00A34C2E">
        <w:rPr>
          <w:rFonts w:ascii="Arial Narrow" w:hAnsi="Arial Narrow"/>
          <w:noProof/>
          <w:lang w:eastAsia="es-MX"/>
        </w:rPr>
        <w:t xml:space="preserve"> </w:t>
      </w:r>
      <w:r w:rsidR="003837E4">
        <w:rPr>
          <w:rFonts w:ascii="Arial Narrow" w:hAnsi="Arial Narrow"/>
          <w:noProof/>
          <w:lang w:eastAsia="es-MX"/>
        </w:rPr>
        <w:t xml:space="preserve">de eficiencia SFA </w:t>
      </w:r>
      <w:r w:rsidR="001F28F7">
        <w:rPr>
          <w:rFonts w:ascii="Arial Narrow" w:hAnsi="Arial Narrow"/>
          <w:noProof/>
          <w:lang w:eastAsia="es-MX"/>
        </w:rPr>
        <w:t>ajustado. En la colum</w:t>
      </w:r>
      <w:r w:rsidRPr="00814C47">
        <w:rPr>
          <w:rFonts w:ascii="Arial Narrow" w:hAnsi="Arial Narrow"/>
          <w:noProof/>
          <w:lang w:eastAsia="es-MX"/>
        </w:rPr>
        <w:t>na dos</w:t>
      </w:r>
      <w:r w:rsidR="003837E4">
        <w:rPr>
          <w:rFonts w:ascii="Arial Narrow" w:hAnsi="Arial Narrow"/>
          <w:noProof/>
          <w:lang w:eastAsia="es-MX"/>
        </w:rPr>
        <w:t xml:space="preserve"> se muestra </w:t>
      </w:r>
      <w:r w:rsidRPr="00814C47">
        <w:rPr>
          <w:rFonts w:ascii="Arial Narrow" w:hAnsi="Arial Narrow"/>
          <w:noProof/>
          <w:lang w:eastAsia="es-MX"/>
        </w:rPr>
        <w:t xml:space="preserve">el porcentaje de reducción total necesario para alcanzar la eficiencia ajustada </w:t>
      </w:r>
      <w:r w:rsidR="003837E4">
        <w:rPr>
          <w:rFonts w:ascii="Arial Narrow" w:hAnsi="Arial Narrow"/>
          <w:noProof/>
          <w:lang w:eastAsia="es-MX"/>
        </w:rPr>
        <w:t xml:space="preserve">de 100%. </w:t>
      </w:r>
      <w:r w:rsidR="0018648A" w:rsidRPr="00814C47">
        <w:rPr>
          <w:rFonts w:ascii="Arial Narrow" w:hAnsi="Arial Narrow"/>
          <w:noProof/>
          <w:lang w:eastAsia="es-MX"/>
        </w:rPr>
        <w:t>En la tercera columna</w:t>
      </w:r>
      <w:r w:rsidRPr="00814C47">
        <w:rPr>
          <w:rFonts w:ascii="Arial Narrow" w:hAnsi="Arial Narrow"/>
          <w:noProof/>
          <w:lang w:eastAsia="es-MX"/>
        </w:rPr>
        <w:t xml:space="preserve"> se muestra la canti</w:t>
      </w:r>
      <w:r w:rsidR="0018648A" w:rsidRPr="00814C47">
        <w:rPr>
          <w:rFonts w:ascii="Arial Narrow" w:hAnsi="Arial Narrow"/>
          <w:noProof/>
          <w:lang w:eastAsia="es-MX"/>
        </w:rPr>
        <w:t xml:space="preserve">dad de años para alcanzar la eficiencia. </w:t>
      </w:r>
    </w:p>
    <w:p w:rsidR="0018648A" w:rsidRPr="001F28F7" w:rsidRDefault="0018648A" w:rsidP="001F28F7">
      <w:pPr>
        <w:spacing w:after="0" w:line="240" w:lineRule="auto"/>
        <w:jc w:val="both"/>
        <w:rPr>
          <w:rFonts w:ascii="Arial Narrow" w:hAnsi="Arial Narrow"/>
          <w:lang w:val="es-UY"/>
        </w:rPr>
      </w:pPr>
    </w:p>
    <w:p w:rsidR="00AF7E8C" w:rsidRDefault="00A42062" w:rsidP="00E1024E">
      <w:pPr>
        <w:spacing w:line="240" w:lineRule="auto"/>
        <w:jc w:val="both"/>
        <w:rPr>
          <w:rFonts w:ascii="Arial Narrow" w:hAnsi="Arial Narrow"/>
          <w:noProof/>
          <w:lang w:eastAsia="es-MX"/>
        </w:rPr>
      </w:pPr>
      <w:r w:rsidRPr="001F28F7">
        <w:rPr>
          <w:rFonts w:ascii="Arial Narrow" w:hAnsi="Arial Narrow"/>
          <w:noProof/>
          <w:lang w:eastAsia="es-MX"/>
        </w:rPr>
        <w:t xml:space="preserve">Finalmente, </w:t>
      </w:r>
      <w:r w:rsidR="00E1024E">
        <w:rPr>
          <w:rFonts w:ascii="Arial Narrow" w:hAnsi="Arial Narrow"/>
          <w:noProof/>
          <w:lang w:eastAsia="es-MX"/>
        </w:rPr>
        <w:t>no se considera</w:t>
      </w:r>
      <w:r w:rsidR="0018648A" w:rsidRPr="001F28F7">
        <w:rPr>
          <w:rFonts w:ascii="Arial Narrow" w:hAnsi="Arial Narrow"/>
          <w:noProof/>
          <w:lang w:eastAsia="es-MX"/>
        </w:rPr>
        <w:t xml:space="preserve"> reducción de eficiencia</w:t>
      </w:r>
      <w:r w:rsidRPr="001F28F7">
        <w:rPr>
          <w:rFonts w:ascii="Arial Narrow" w:hAnsi="Arial Narrow"/>
          <w:noProof/>
          <w:lang w:eastAsia="es-MX"/>
        </w:rPr>
        <w:t xml:space="preserve"> en costos de explotación para el año 2016, ya que el </w:t>
      </w:r>
      <w:r w:rsidR="0018648A" w:rsidRPr="001F28F7">
        <w:rPr>
          <w:rFonts w:ascii="Arial Narrow" w:hAnsi="Arial Narrow"/>
          <w:noProof/>
          <w:lang w:eastAsia="es-MX"/>
        </w:rPr>
        <w:t>sendero de eficiencia en costos de explotación inicia a partir de 2017</w:t>
      </w:r>
      <w:r w:rsidR="00926E7E">
        <w:rPr>
          <w:rFonts w:ascii="Arial Narrow" w:hAnsi="Arial Narrow"/>
          <w:noProof/>
          <w:lang w:eastAsia="es-MX"/>
        </w:rPr>
        <w:t>.</w:t>
      </w:r>
    </w:p>
    <w:p w:rsidR="00B35D10" w:rsidRDefault="00B35D10" w:rsidP="00E1024E">
      <w:pPr>
        <w:spacing w:line="240" w:lineRule="auto"/>
        <w:jc w:val="both"/>
        <w:rPr>
          <w:rFonts w:ascii="Arial Narrow" w:hAnsi="Arial Narrow"/>
          <w:noProof/>
          <w:lang w:eastAsia="es-MX"/>
        </w:rPr>
      </w:pPr>
    </w:p>
    <w:p w:rsidR="00926E7E" w:rsidRDefault="00926E7E" w:rsidP="00E1024E">
      <w:pPr>
        <w:spacing w:line="240" w:lineRule="auto"/>
        <w:jc w:val="both"/>
        <w:rPr>
          <w:rFonts w:ascii="Arial Narrow" w:hAnsi="Arial Narrow"/>
          <w:noProof/>
          <w:lang w:eastAsia="es-MX"/>
        </w:rPr>
      </w:pPr>
    </w:p>
    <w:p w:rsidR="00926E7E" w:rsidRDefault="00926E7E" w:rsidP="00E1024E">
      <w:pPr>
        <w:spacing w:line="240" w:lineRule="auto"/>
        <w:jc w:val="both"/>
        <w:rPr>
          <w:rFonts w:ascii="Arial Narrow" w:hAnsi="Arial Narrow"/>
          <w:noProof/>
          <w:lang w:eastAsia="es-MX"/>
        </w:rPr>
      </w:pPr>
    </w:p>
    <w:p w:rsidR="00926E7E" w:rsidRPr="00E1024E" w:rsidRDefault="00926E7E" w:rsidP="00E1024E">
      <w:pPr>
        <w:spacing w:line="240" w:lineRule="auto"/>
        <w:jc w:val="both"/>
        <w:rPr>
          <w:rFonts w:ascii="Arial Narrow" w:hAnsi="Arial Narrow"/>
          <w:noProof/>
          <w:lang w:eastAsia="es-MX"/>
        </w:rPr>
      </w:pPr>
    </w:p>
    <w:p w:rsidR="00AE79F5" w:rsidRPr="008F66CD" w:rsidRDefault="00AE79F5" w:rsidP="00E1024E">
      <w:pPr>
        <w:pStyle w:val="Descripcin"/>
        <w:spacing w:after="120"/>
        <w:jc w:val="center"/>
        <w:rPr>
          <w:sz w:val="20"/>
          <w:szCs w:val="20"/>
        </w:rPr>
      </w:pPr>
      <w:r w:rsidRPr="008F66CD">
        <w:rPr>
          <w:sz w:val="20"/>
          <w:szCs w:val="20"/>
        </w:rPr>
        <w:lastRenderedPageBreak/>
        <w:t xml:space="preserve">Tabla </w:t>
      </w:r>
      <w:r w:rsidRPr="008F66CD">
        <w:rPr>
          <w:sz w:val="20"/>
          <w:szCs w:val="20"/>
        </w:rPr>
        <w:fldChar w:fldCharType="begin"/>
      </w:r>
      <w:r w:rsidRPr="008F66CD">
        <w:rPr>
          <w:sz w:val="20"/>
          <w:szCs w:val="20"/>
        </w:rPr>
        <w:instrText xml:space="preserve"> SEQ Tabla \* ARABIC </w:instrText>
      </w:r>
      <w:r w:rsidRPr="008F66CD">
        <w:rPr>
          <w:sz w:val="20"/>
          <w:szCs w:val="20"/>
        </w:rPr>
        <w:fldChar w:fldCharType="separate"/>
      </w:r>
      <w:r w:rsidR="00E1024E">
        <w:rPr>
          <w:noProof/>
          <w:sz w:val="20"/>
          <w:szCs w:val="20"/>
        </w:rPr>
        <w:t>11</w:t>
      </w:r>
      <w:r w:rsidRPr="008F66CD">
        <w:rPr>
          <w:sz w:val="20"/>
          <w:szCs w:val="20"/>
        </w:rPr>
        <w:fldChar w:fldCharType="end"/>
      </w:r>
      <w:r w:rsidRPr="008F66CD">
        <w:rPr>
          <w:sz w:val="20"/>
          <w:szCs w:val="20"/>
        </w:rPr>
        <w:t xml:space="preserve">. </w:t>
      </w:r>
      <w:r w:rsidR="00A42062" w:rsidRPr="008F66CD">
        <w:rPr>
          <w:sz w:val="20"/>
          <w:szCs w:val="20"/>
        </w:rPr>
        <w:t>Senderos de eficiencia en Costos de Explotación</w:t>
      </w:r>
    </w:p>
    <w:tbl>
      <w:tblPr>
        <w:tblW w:w="0" w:type="auto"/>
        <w:jc w:val="center"/>
        <w:tblCellMar>
          <w:left w:w="70" w:type="dxa"/>
          <w:right w:w="70" w:type="dxa"/>
        </w:tblCellMar>
        <w:tblLook w:val="04A0" w:firstRow="1" w:lastRow="0" w:firstColumn="1" w:lastColumn="0" w:noHBand="0" w:noVBand="1"/>
      </w:tblPr>
      <w:tblGrid>
        <w:gridCol w:w="1830"/>
        <w:gridCol w:w="1166"/>
        <w:gridCol w:w="895"/>
        <w:gridCol w:w="772"/>
        <w:gridCol w:w="797"/>
        <w:gridCol w:w="797"/>
        <w:gridCol w:w="797"/>
      </w:tblGrid>
      <w:tr w:rsidR="00E1024E" w:rsidRPr="001F28F7" w:rsidTr="00E1024E">
        <w:trPr>
          <w:trHeight w:val="2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365F91" w:themeFill="accent1" w:themeFillShade="BF"/>
            <w:vAlign w:val="center"/>
            <w:hideMark/>
          </w:tcPr>
          <w:p w:rsidR="00E1024E" w:rsidRPr="001F28F7" w:rsidRDefault="00E1024E" w:rsidP="00E1024E">
            <w:pPr>
              <w:spacing w:after="0" w:line="240" w:lineRule="auto"/>
              <w:jc w:val="center"/>
              <w:rPr>
                <w:rFonts w:ascii="Arial Narrow" w:eastAsia="Times New Roman" w:hAnsi="Arial Narrow" w:cs="Times New Roman"/>
                <w:b/>
                <w:bCs/>
                <w:color w:val="FFFFFF"/>
                <w:sz w:val="18"/>
                <w:szCs w:val="18"/>
                <w:lang w:eastAsia="es-MX"/>
              </w:rPr>
            </w:pPr>
            <w:r w:rsidRPr="001F28F7">
              <w:rPr>
                <w:rFonts w:ascii="Arial Narrow" w:eastAsia="Times New Roman" w:hAnsi="Arial Narrow" w:cs="Times New Roman"/>
                <w:b/>
                <w:bCs/>
                <w:color w:val="FFFFFF"/>
                <w:sz w:val="18"/>
                <w:szCs w:val="18"/>
                <w:lang w:eastAsia="es-MX"/>
              </w:rPr>
              <w:t>División de Distribución</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365F91" w:themeFill="accent1" w:themeFillShade="BF"/>
            <w:vAlign w:val="center"/>
            <w:hideMark/>
          </w:tcPr>
          <w:p w:rsidR="00E1024E" w:rsidRDefault="00E1024E" w:rsidP="00E1024E">
            <w:pPr>
              <w:spacing w:after="0" w:line="240" w:lineRule="auto"/>
              <w:jc w:val="center"/>
              <w:rPr>
                <w:rFonts w:ascii="Arial Narrow" w:eastAsia="Times New Roman" w:hAnsi="Arial Narrow" w:cs="Times New Roman"/>
                <w:b/>
                <w:bCs/>
                <w:color w:val="FFFFFF"/>
                <w:sz w:val="18"/>
                <w:szCs w:val="18"/>
                <w:lang w:eastAsia="es-MX"/>
              </w:rPr>
            </w:pPr>
            <w:r>
              <w:rPr>
                <w:rFonts w:ascii="Arial Narrow" w:eastAsia="Times New Roman" w:hAnsi="Arial Narrow" w:cs="Times New Roman"/>
                <w:b/>
                <w:bCs/>
                <w:color w:val="FFFFFF"/>
                <w:sz w:val="18"/>
                <w:szCs w:val="18"/>
                <w:lang w:eastAsia="es-MX"/>
              </w:rPr>
              <w:t xml:space="preserve">Eficiencia SFA </w:t>
            </w:r>
          </w:p>
          <w:p w:rsidR="00E1024E" w:rsidRPr="001F28F7" w:rsidRDefault="00E1024E" w:rsidP="00E1024E">
            <w:pPr>
              <w:spacing w:after="0" w:line="240" w:lineRule="auto"/>
              <w:jc w:val="center"/>
              <w:rPr>
                <w:rFonts w:ascii="Arial Narrow" w:eastAsia="Times New Roman" w:hAnsi="Arial Narrow" w:cs="Times New Roman"/>
                <w:b/>
                <w:bCs/>
                <w:color w:val="FFFFFF"/>
                <w:sz w:val="18"/>
                <w:szCs w:val="18"/>
                <w:lang w:eastAsia="es-MX"/>
              </w:rPr>
            </w:pPr>
            <w:r w:rsidRPr="001F28F7">
              <w:rPr>
                <w:rFonts w:ascii="Arial Narrow" w:eastAsia="Times New Roman" w:hAnsi="Arial Narrow" w:cs="Times New Roman"/>
                <w:b/>
                <w:bCs/>
                <w:color w:val="FFFFFF"/>
                <w:sz w:val="18"/>
                <w:szCs w:val="18"/>
                <w:lang w:eastAsia="es-MX"/>
              </w:rPr>
              <w:t>ajustada</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365F91" w:themeFill="accent1" w:themeFillShade="BF"/>
            <w:vAlign w:val="center"/>
            <w:hideMark/>
          </w:tcPr>
          <w:p w:rsidR="00E1024E" w:rsidRDefault="00E1024E" w:rsidP="00E1024E">
            <w:pPr>
              <w:spacing w:after="0" w:line="240" w:lineRule="auto"/>
              <w:jc w:val="center"/>
              <w:rPr>
                <w:rFonts w:ascii="Arial Narrow" w:eastAsia="Times New Roman" w:hAnsi="Arial Narrow" w:cs="Times New Roman"/>
                <w:b/>
                <w:bCs/>
                <w:color w:val="FFFFFF"/>
                <w:sz w:val="18"/>
                <w:szCs w:val="18"/>
                <w:lang w:eastAsia="es-MX"/>
              </w:rPr>
            </w:pPr>
            <w:r>
              <w:rPr>
                <w:rFonts w:ascii="Arial Narrow" w:eastAsia="Times New Roman" w:hAnsi="Arial Narrow" w:cs="Times New Roman"/>
                <w:b/>
                <w:bCs/>
                <w:color w:val="FFFFFF"/>
                <w:sz w:val="18"/>
                <w:szCs w:val="18"/>
                <w:lang w:eastAsia="es-MX"/>
              </w:rPr>
              <w:t xml:space="preserve">Reducción </w:t>
            </w:r>
          </w:p>
          <w:p w:rsidR="00E1024E" w:rsidRPr="001F28F7" w:rsidRDefault="00E1024E" w:rsidP="00E1024E">
            <w:pPr>
              <w:spacing w:after="0" w:line="240" w:lineRule="auto"/>
              <w:jc w:val="center"/>
              <w:rPr>
                <w:rFonts w:ascii="Arial Narrow" w:eastAsia="Times New Roman" w:hAnsi="Arial Narrow" w:cs="Times New Roman"/>
                <w:b/>
                <w:bCs/>
                <w:color w:val="FFFFFF"/>
                <w:sz w:val="18"/>
                <w:szCs w:val="18"/>
                <w:lang w:eastAsia="es-MX"/>
              </w:rPr>
            </w:pPr>
            <w:r>
              <w:rPr>
                <w:rFonts w:ascii="Arial Narrow" w:eastAsia="Times New Roman" w:hAnsi="Arial Narrow" w:cs="Times New Roman"/>
                <w:b/>
                <w:bCs/>
                <w:color w:val="FFFFFF"/>
                <w:sz w:val="18"/>
                <w:szCs w:val="18"/>
                <w:lang w:eastAsia="es-MX"/>
              </w:rPr>
              <w:t>T</w:t>
            </w:r>
            <w:r w:rsidRPr="001F28F7">
              <w:rPr>
                <w:rFonts w:ascii="Arial Narrow" w:eastAsia="Times New Roman" w:hAnsi="Arial Narrow" w:cs="Times New Roman"/>
                <w:b/>
                <w:bCs/>
                <w:color w:val="FFFFFF"/>
                <w:sz w:val="18"/>
                <w:szCs w:val="18"/>
                <w:lang w:eastAsia="es-MX"/>
              </w:rPr>
              <w:t>otal</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365F91" w:themeFill="accent1" w:themeFillShade="BF"/>
            <w:vAlign w:val="center"/>
            <w:hideMark/>
          </w:tcPr>
          <w:p w:rsidR="00E1024E" w:rsidRDefault="00E1024E" w:rsidP="00E1024E">
            <w:pPr>
              <w:spacing w:after="0" w:line="240" w:lineRule="auto"/>
              <w:jc w:val="center"/>
              <w:rPr>
                <w:rFonts w:ascii="Arial Narrow" w:eastAsia="Times New Roman" w:hAnsi="Arial Narrow" w:cs="Times New Roman"/>
                <w:b/>
                <w:bCs/>
                <w:color w:val="FFFFFF"/>
                <w:sz w:val="18"/>
                <w:szCs w:val="18"/>
                <w:lang w:eastAsia="es-MX"/>
              </w:rPr>
            </w:pPr>
            <w:r>
              <w:rPr>
                <w:rFonts w:ascii="Arial Narrow" w:eastAsia="Times New Roman" w:hAnsi="Arial Narrow" w:cs="Times New Roman"/>
                <w:b/>
                <w:bCs/>
                <w:color w:val="FFFFFF"/>
                <w:sz w:val="18"/>
                <w:szCs w:val="18"/>
                <w:lang w:eastAsia="es-MX"/>
              </w:rPr>
              <w:t xml:space="preserve">Cantidad </w:t>
            </w:r>
          </w:p>
          <w:p w:rsidR="00E1024E" w:rsidRPr="001F28F7" w:rsidRDefault="00E1024E" w:rsidP="00E1024E">
            <w:pPr>
              <w:spacing w:after="0" w:line="240" w:lineRule="auto"/>
              <w:jc w:val="center"/>
              <w:rPr>
                <w:rFonts w:ascii="Arial Narrow" w:eastAsia="Times New Roman" w:hAnsi="Arial Narrow" w:cs="Times New Roman"/>
                <w:b/>
                <w:bCs/>
                <w:color w:val="FFFFFF"/>
                <w:sz w:val="18"/>
                <w:szCs w:val="18"/>
                <w:lang w:eastAsia="es-MX"/>
              </w:rPr>
            </w:pPr>
            <w:r>
              <w:rPr>
                <w:rFonts w:ascii="Arial Narrow" w:eastAsia="Times New Roman" w:hAnsi="Arial Narrow" w:cs="Times New Roman"/>
                <w:b/>
                <w:bCs/>
                <w:color w:val="FFFFFF"/>
                <w:sz w:val="18"/>
                <w:szCs w:val="18"/>
                <w:lang w:eastAsia="es-MX"/>
              </w:rPr>
              <w:t>A</w:t>
            </w:r>
            <w:r w:rsidRPr="001F28F7">
              <w:rPr>
                <w:rFonts w:ascii="Arial Narrow" w:eastAsia="Times New Roman" w:hAnsi="Arial Narrow" w:cs="Times New Roman"/>
                <w:b/>
                <w:bCs/>
                <w:color w:val="FFFFFF"/>
                <w:sz w:val="18"/>
                <w:szCs w:val="18"/>
                <w:lang w:eastAsia="es-MX"/>
              </w:rPr>
              <w:t>ños</w:t>
            </w:r>
          </w:p>
        </w:tc>
        <w:tc>
          <w:tcPr>
            <w:tcW w:w="0" w:type="auto"/>
            <w:gridSpan w:val="3"/>
            <w:tcBorders>
              <w:top w:val="single" w:sz="8" w:space="0" w:color="auto"/>
              <w:left w:val="nil"/>
              <w:bottom w:val="nil"/>
              <w:right w:val="single" w:sz="8" w:space="0" w:color="000000"/>
            </w:tcBorders>
            <w:shd w:val="clear" w:color="auto" w:fill="365F91" w:themeFill="accent1" w:themeFillShade="BF"/>
            <w:vAlign w:val="center"/>
            <w:hideMark/>
          </w:tcPr>
          <w:p w:rsidR="00E1024E" w:rsidRPr="001F28F7" w:rsidRDefault="00E1024E" w:rsidP="00E1024E">
            <w:pPr>
              <w:spacing w:after="0" w:line="240" w:lineRule="auto"/>
              <w:jc w:val="center"/>
              <w:rPr>
                <w:rFonts w:ascii="Arial Narrow" w:eastAsia="Times New Roman" w:hAnsi="Arial Narrow" w:cs="Times New Roman"/>
                <w:b/>
                <w:bCs/>
                <w:color w:val="FFFFFF"/>
                <w:sz w:val="18"/>
                <w:szCs w:val="18"/>
                <w:lang w:eastAsia="es-MX"/>
              </w:rPr>
            </w:pPr>
            <w:r>
              <w:rPr>
                <w:rFonts w:ascii="Arial Narrow" w:eastAsia="Times New Roman" w:hAnsi="Arial Narrow" w:cs="Times New Roman"/>
                <w:b/>
                <w:bCs/>
                <w:color w:val="FFFFFF"/>
                <w:sz w:val="18"/>
                <w:szCs w:val="18"/>
                <w:lang w:eastAsia="es-MX"/>
              </w:rPr>
              <w:t>Reducción anual</w:t>
            </w:r>
          </w:p>
        </w:tc>
      </w:tr>
      <w:tr w:rsidR="00E1024E" w:rsidRPr="001F28F7" w:rsidTr="00E1024E">
        <w:trPr>
          <w:trHeight w:val="20"/>
          <w:jc w:val="center"/>
        </w:trPr>
        <w:tc>
          <w:tcPr>
            <w:tcW w:w="0" w:type="auto"/>
            <w:vMerge/>
            <w:tcBorders>
              <w:top w:val="single" w:sz="8" w:space="0" w:color="auto"/>
              <w:left w:val="single" w:sz="8" w:space="0" w:color="auto"/>
              <w:bottom w:val="single" w:sz="8" w:space="0" w:color="000000"/>
              <w:right w:val="single" w:sz="8" w:space="0" w:color="auto"/>
            </w:tcBorders>
            <w:shd w:val="clear" w:color="auto" w:fill="365F91" w:themeFill="accent1" w:themeFillShade="BF"/>
            <w:vAlign w:val="center"/>
            <w:hideMark/>
          </w:tcPr>
          <w:p w:rsidR="00E1024E" w:rsidRPr="001F28F7" w:rsidRDefault="00E1024E" w:rsidP="00E1024E">
            <w:pPr>
              <w:spacing w:after="0" w:line="240" w:lineRule="auto"/>
              <w:jc w:val="both"/>
              <w:rPr>
                <w:rFonts w:ascii="Arial Narrow" w:eastAsia="Times New Roman" w:hAnsi="Arial Narrow" w:cs="Times New Roman"/>
                <w:b/>
                <w:bCs/>
                <w:color w:val="FFFFFF"/>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shd w:val="clear" w:color="auto" w:fill="365F91" w:themeFill="accent1" w:themeFillShade="BF"/>
            <w:vAlign w:val="center"/>
            <w:hideMark/>
          </w:tcPr>
          <w:p w:rsidR="00E1024E" w:rsidRPr="001F28F7" w:rsidRDefault="00E1024E" w:rsidP="00E1024E">
            <w:pPr>
              <w:spacing w:after="0" w:line="240" w:lineRule="auto"/>
              <w:jc w:val="center"/>
              <w:rPr>
                <w:rFonts w:ascii="Arial Narrow" w:eastAsia="Times New Roman" w:hAnsi="Arial Narrow" w:cs="Times New Roman"/>
                <w:b/>
                <w:bCs/>
                <w:color w:val="FFFFFF"/>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shd w:val="clear" w:color="auto" w:fill="365F91" w:themeFill="accent1" w:themeFillShade="BF"/>
            <w:vAlign w:val="center"/>
            <w:hideMark/>
          </w:tcPr>
          <w:p w:rsidR="00E1024E" w:rsidRPr="001F28F7" w:rsidRDefault="00E1024E" w:rsidP="00E1024E">
            <w:pPr>
              <w:spacing w:after="0" w:line="240" w:lineRule="auto"/>
              <w:jc w:val="center"/>
              <w:rPr>
                <w:rFonts w:ascii="Arial Narrow" w:eastAsia="Times New Roman" w:hAnsi="Arial Narrow" w:cs="Times New Roman"/>
                <w:b/>
                <w:bCs/>
                <w:color w:val="FFFFFF"/>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shd w:val="clear" w:color="auto" w:fill="365F91" w:themeFill="accent1" w:themeFillShade="BF"/>
            <w:vAlign w:val="center"/>
            <w:hideMark/>
          </w:tcPr>
          <w:p w:rsidR="00E1024E" w:rsidRPr="001F28F7" w:rsidRDefault="00E1024E" w:rsidP="00E1024E">
            <w:pPr>
              <w:spacing w:after="0" w:line="240" w:lineRule="auto"/>
              <w:jc w:val="center"/>
              <w:rPr>
                <w:rFonts w:ascii="Arial Narrow" w:eastAsia="Times New Roman" w:hAnsi="Arial Narrow" w:cs="Times New Roman"/>
                <w:b/>
                <w:bCs/>
                <w:color w:val="FFFFFF"/>
                <w:sz w:val="18"/>
                <w:szCs w:val="18"/>
                <w:lang w:eastAsia="es-MX"/>
              </w:rPr>
            </w:pPr>
          </w:p>
        </w:tc>
        <w:tc>
          <w:tcPr>
            <w:tcW w:w="0" w:type="auto"/>
            <w:tcBorders>
              <w:top w:val="nil"/>
              <w:left w:val="nil"/>
              <w:bottom w:val="single" w:sz="8" w:space="0" w:color="auto"/>
              <w:right w:val="single" w:sz="8" w:space="0" w:color="auto"/>
            </w:tcBorders>
            <w:shd w:val="clear" w:color="auto" w:fill="365F91" w:themeFill="accent1" w:themeFillShade="BF"/>
            <w:vAlign w:val="center"/>
            <w:hideMark/>
          </w:tcPr>
          <w:p w:rsidR="00E1024E" w:rsidRPr="001F28F7" w:rsidRDefault="00E1024E" w:rsidP="00E1024E">
            <w:pPr>
              <w:spacing w:after="0" w:line="240" w:lineRule="auto"/>
              <w:jc w:val="center"/>
              <w:rPr>
                <w:rFonts w:ascii="Arial Narrow" w:eastAsia="Times New Roman" w:hAnsi="Arial Narrow" w:cs="Times New Roman"/>
                <w:b/>
                <w:bCs/>
                <w:color w:val="FFFFFF"/>
                <w:sz w:val="18"/>
                <w:szCs w:val="18"/>
                <w:lang w:eastAsia="es-MX"/>
              </w:rPr>
            </w:pPr>
            <w:r w:rsidRPr="001F28F7">
              <w:rPr>
                <w:rFonts w:ascii="Arial Narrow" w:eastAsia="Times New Roman" w:hAnsi="Arial Narrow" w:cs="Times New Roman"/>
                <w:b/>
                <w:bCs/>
                <w:color w:val="FFFFFF"/>
                <w:sz w:val="18"/>
                <w:szCs w:val="18"/>
                <w:lang w:eastAsia="es-MX"/>
              </w:rPr>
              <w:t>Año 2016</w:t>
            </w:r>
          </w:p>
        </w:tc>
        <w:tc>
          <w:tcPr>
            <w:tcW w:w="0" w:type="auto"/>
            <w:tcBorders>
              <w:top w:val="nil"/>
              <w:left w:val="nil"/>
              <w:bottom w:val="single" w:sz="8" w:space="0" w:color="auto"/>
              <w:right w:val="single" w:sz="8" w:space="0" w:color="auto"/>
            </w:tcBorders>
            <w:shd w:val="clear" w:color="auto" w:fill="365F91" w:themeFill="accent1" w:themeFillShade="BF"/>
            <w:vAlign w:val="center"/>
            <w:hideMark/>
          </w:tcPr>
          <w:p w:rsidR="00E1024E" w:rsidRPr="001F28F7" w:rsidRDefault="00E1024E" w:rsidP="00E1024E">
            <w:pPr>
              <w:spacing w:after="0" w:line="240" w:lineRule="auto"/>
              <w:jc w:val="center"/>
              <w:rPr>
                <w:rFonts w:ascii="Arial Narrow" w:eastAsia="Times New Roman" w:hAnsi="Arial Narrow" w:cs="Times New Roman"/>
                <w:b/>
                <w:bCs/>
                <w:color w:val="FFFFFF"/>
                <w:sz w:val="18"/>
                <w:szCs w:val="18"/>
                <w:lang w:eastAsia="es-MX"/>
              </w:rPr>
            </w:pPr>
            <w:r w:rsidRPr="001F28F7">
              <w:rPr>
                <w:rFonts w:ascii="Arial Narrow" w:eastAsia="Times New Roman" w:hAnsi="Arial Narrow" w:cs="Times New Roman"/>
                <w:b/>
                <w:bCs/>
                <w:color w:val="FFFFFF"/>
                <w:sz w:val="18"/>
                <w:szCs w:val="18"/>
                <w:lang w:eastAsia="es-MX"/>
              </w:rPr>
              <w:t>Año 2017</w:t>
            </w:r>
          </w:p>
        </w:tc>
        <w:tc>
          <w:tcPr>
            <w:tcW w:w="0" w:type="auto"/>
            <w:tcBorders>
              <w:top w:val="nil"/>
              <w:left w:val="nil"/>
              <w:bottom w:val="single" w:sz="8" w:space="0" w:color="auto"/>
              <w:right w:val="single" w:sz="8" w:space="0" w:color="auto"/>
            </w:tcBorders>
            <w:shd w:val="clear" w:color="auto" w:fill="365F91" w:themeFill="accent1" w:themeFillShade="BF"/>
            <w:vAlign w:val="center"/>
            <w:hideMark/>
          </w:tcPr>
          <w:p w:rsidR="00E1024E" w:rsidRPr="001F28F7" w:rsidRDefault="00E1024E" w:rsidP="00E1024E">
            <w:pPr>
              <w:spacing w:after="0" w:line="240" w:lineRule="auto"/>
              <w:jc w:val="center"/>
              <w:rPr>
                <w:rFonts w:ascii="Arial Narrow" w:eastAsia="Times New Roman" w:hAnsi="Arial Narrow" w:cs="Times New Roman"/>
                <w:b/>
                <w:bCs/>
                <w:color w:val="FFFFFF"/>
                <w:sz w:val="18"/>
                <w:szCs w:val="18"/>
                <w:lang w:eastAsia="es-MX"/>
              </w:rPr>
            </w:pPr>
            <w:r w:rsidRPr="001F28F7">
              <w:rPr>
                <w:rFonts w:ascii="Arial Narrow" w:eastAsia="Times New Roman" w:hAnsi="Arial Narrow" w:cs="Times New Roman"/>
                <w:b/>
                <w:bCs/>
                <w:color w:val="FFFFFF"/>
                <w:sz w:val="18"/>
                <w:szCs w:val="18"/>
                <w:lang w:eastAsia="es-MX"/>
              </w:rPr>
              <w:t>Año 2018</w:t>
            </w:r>
          </w:p>
        </w:tc>
      </w:tr>
      <w:tr w:rsidR="00E1024E" w:rsidRPr="001F28F7" w:rsidTr="00E1024E">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both"/>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val="es-AR" w:eastAsia="es-MX"/>
              </w:rPr>
              <w:t>BAJA CALIFORNIA</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100.00%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0.00%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0.00%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0.00%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0.00%</w:t>
            </w:r>
          </w:p>
        </w:tc>
      </w:tr>
      <w:tr w:rsidR="00E1024E" w:rsidRPr="001F28F7" w:rsidTr="00E1024E">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both"/>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val="es-AR" w:eastAsia="es-MX"/>
              </w:rPr>
              <w:t>BAJIO</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100.00%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0.00%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0.00%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0.00%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0.00%</w:t>
            </w:r>
          </w:p>
        </w:tc>
      </w:tr>
      <w:tr w:rsidR="00E1024E" w:rsidRPr="001F28F7" w:rsidTr="00E1024E">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both"/>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val="es-AR" w:eastAsia="es-MX"/>
              </w:rPr>
              <w:t>CENTRO OCCIDENTE</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95.80%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4.20%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3</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0.00%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-1.40%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-1.40%</w:t>
            </w:r>
          </w:p>
        </w:tc>
      </w:tr>
      <w:tr w:rsidR="00E1024E" w:rsidRPr="001F28F7" w:rsidTr="00E1024E">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both"/>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val="es-AR" w:eastAsia="es-MX"/>
              </w:rPr>
              <w:t>CENTRO ORIENTE</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91.80%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8.20%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3</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0.00%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-2.80%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-2.80%</w:t>
            </w:r>
          </w:p>
        </w:tc>
      </w:tr>
      <w:tr w:rsidR="00E1024E" w:rsidRPr="001F28F7" w:rsidTr="00E1024E">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both"/>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val="es-AR" w:eastAsia="es-MX"/>
              </w:rPr>
              <w:t>CENTRO SUR</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89.20%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10.80%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5</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0.00%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-2.30%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-2.30%</w:t>
            </w:r>
          </w:p>
        </w:tc>
      </w:tr>
      <w:tr w:rsidR="00E1024E" w:rsidRPr="001F28F7" w:rsidTr="00E1024E">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both"/>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val="es-AR" w:eastAsia="es-MX"/>
              </w:rPr>
              <w:t>GOLFO NORTE</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88.90%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11.10%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5</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0.00%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-2.30%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-2.30%</w:t>
            </w:r>
          </w:p>
        </w:tc>
      </w:tr>
      <w:tr w:rsidR="00E1024E" w:rsidRPr="001F28F7" w:rsidTr="00E1024E">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both"/>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val="es-AR" w:eastAsia="es-MX"/>
              </w:rPr>
              <w:t>JALISCO</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88.80%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11.20%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5</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0.00%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-2.40%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-2.40%</w:t>
            </w:r>
          </w:p>
        </w:tc>
      </w:tr>
      <w:tr w:rsidR="00E1024E" w:rsidRPr="001F28F7" w:rsidTr="00E1024E">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both"/>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val="es-AR" w:eastAsia="es-MX"/>
              </w:rPr>
              <w:t>NOROESTE</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88.10%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11.90%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5</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0.00%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-2.50%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-2.50%</w:t>
            </w:r>
          </w:p>
        </w:tc>
      </w:tr>
      <w:tr w:rsidR="00E1024E" w:rsidRPr="001F28F7" w:rsidTr="00E1024E">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both"/>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val="es-AR" w:eastAsia="es-MX"/>
              </w:rPr>
              <w:t>NORTE</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86.50%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13.50%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5</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0.00%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-2.90%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-2.90%</w:t>
            </w:r>
          </w:p>
        </w:tc>
      </w:tr>
      <w:tr w:rsidR="00E1024E" w:rsidRPr="001F28F7" w:rsidTr="00E1024E">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both"/>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val="es-AR" w:eastAsia="es-MX"/>
              </w:rPr>
              <w:t>SURESTE</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82.20%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17.80%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5</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0.00%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-3.90%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-3.90%</w:t>
            </w:r>
          </w:p>
        </w:tc>
      </w:tr>
      <w:tr w:rsidR="00E1024E" w:rsidRPr="001F28F7" w:rsidTr="00E1024E">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both"/>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val="es-AR" w:eastAsia="es-MX"/>
              </w:rPr>
              <w:t>PENINSULAR</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81.10%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18.90%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5</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0.00%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-4.10%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-4.10%</w:t>
            </w:r>
          </w:p>
        </w:tc>
      </w:tr>
      <w:tr w:rsidR="00E1024E" w:rsidRPr="001F28F7" w:rsidTr="00E1024E">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both"/>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val="es-AR" w:eastAsia="es-MX"/>
              </w:rPr>
              <w:t>ORIENTE</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79.30%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20.70%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5</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0.00%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-4.50%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-4.50%</w:t>
            </w:r>
          </w:p>
        </w:tc>
      </w:tr>
      <w:tr w:rsidR="00E1024E" w:rsidRPr="001F28F7" w:rsidTr="00E1024E">
        <w:trPr>
          <w:trHeight w:val="20"/>
          <w:jc w:val="center"/>
        </w:trPr>
        <w:tc>
          <w:tcPr>
            <w:tcW w:w="0" w:type="auto"/>
            <w:tcBorders>
              <w:top w:val="nil"/>
              <w:left w:val="single" w:sz="8" w:space="0" w:color="auto"/>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both"/>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val="es-AR" w:eastAsia="es-MX"/>
              </w:rPr>
              <w:t>GOLFO CENTRO</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69.80%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30.20%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7</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0.00%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-5.00%</w:t>
            </w:r>
          </w:p>
        </w:tc>
        <w:tc>
          <w:tcPr>
            <w:tcW w:w="0" w:type="auto"/>
            <w:tcBorders>
              <w:top w:val="nil"/>
              <w:left w:val="nil"/>
              <w:bottom w:val="single" w:sz="8" w:space="0" w:color="FFFFFF"/>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-5.00%</w:t>
            </w:r>
          </w:p>
        </w:tc>
      </w:tr>
      <w:tr w:rsidR="00E1024E" w:rsidRPr="001F28F7" w:rsidTr="00E1024E">
        <w:trPr>
          <w:trHeight w:val="20"/>
          <w:jc w:val="center"/>
        </w:trPr>
        <w:tc>
          <w:tcPr>
            <w:tcW w:w="0" w:type="auto"/>
            <w:tcBorders>
              <w:top w:val="nil"/>
              <w:left w:val="single" w:sz="8" w:space="0" w:color="auto"/>
              <w:bottom w:val="nil"/>
              <w:right w:val="single" w:sz="8" w:space="0" w:color="auto"/>
            </w:tcBorders>
            <w:shd w:val="clear" w:color="auto" w:fill="auto"/>
            <w:vAlign w:val="center"/>
            <w:hideMark/>
          </w:tcPr>
          <w:p w:rsidR="00E1024E" w:rsidRPr="001F28F7" w:rsidRDefault="00E1024E" w:rsidP="00E1024E">
            <w:pPr>
              <w:spacing w:after="0" w:line="240" w:lineRule="auto"/>
              <w:jc w:val="both"/>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val="es-AR" w:eastAsia="es-MX"/>
              </w:rPr>
              <w:t>VALLE MEXICO NTE</w:t>
            </w:r>
          </w:p>
        </w:tc>
        <w:tc>
          <w:tcPr>
            <w:tcW w:w="0" w:type="auto"/>
            <w:tcBorders>
              <w:top w:val="nil"/>
              <w:left w:val="nil"/>
              <w:bottom w:val="nil"/>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69.80%</w:t>
            </w:r>
          </w:p>
        </w:tc>
        <w:tc>
          <w:tcPr>
            <w:tcW w:w="0" w:type="auto"/>
            <w:tcBorders>
              <w:top w:val="nil"/>
              <w:left w:val="nil"/>
              <w:bottom w:val="nil"/>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30.20%</w:t>
            </w:r>
          </w:p>
        </w:tc>
        <w:tc>
          <w:tcPr>
            <w:tcW w:w="0" w:type="auto"/>
            <w:tcBorders>
              <w:top w:val="nil"/>
              <w:left w:val="nil"/>
              <w:bottom w:val="nil"/>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7</w:t>
            </w:r>
          </w:p>
        </w:tc>
        <w:tc>
          <w:tcPr>
            <w:tcW w:w="0" w:type="auto"/>
            <w:tcBorders>
              <w:top w:val="nil"/>
              <w:left w:val="nil"/>
              <w:bottom w:val="nil"/>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0.00%</w:t>
            </w:r>
          </w:p>
        </w:tc>
        <w:tc>
          <w:tcPr>
            <w:tcW w:w="0" w:type="auto"/>
            <w:tcBorders>
              <w:top w:val="nil"/>
              <w:left w:val="nil"/>
              <w:bottom w:val="nil"/>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-5.00%</w:t>
            </w:r>
          </w:p>
        </w:tc>
        <w:tc>
          <w:tcPr>
            <w:tcW w:w="0" w:type="auto"/>
            <w:tcBorders>
              <w:top w:val="nil"/>
              <w:left w:val="nil"/>
              <w:bottom w:val="nil"/>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-5.00%</w:t>
            </w:r>
          </w:p>
        </w:tc>
      </w:tr>
      <w:tr w:rsidR="00E1024E" w:rsidRPr="001F28F7" w:rsidTr="00E1024E">
        <w:trPr>
          <w:trHeight w:val="20"/>
          <w:jc w:val="center"/>
        </w:trPr>
        <w:tc>
          <w:tcPr>
            <w:tcW w:w="0" w:type="auto"/>
            <w:tcBorders>
              <w:top w:val="nil"/>
              <w:left w:val="single" w:sz="8" w:space="0" w:color="auto"/>
              <w:bottom w:val="nil"/>
              <w:right w:val="single" w:sz="8" w:space="0" w:color="auto"/>
            </w:tcBorders>
            <w:shd w:val="clear" w:color="auto" w:fill="auto"/>
            <w:vAlign w:val="center"/>
            <w:hideMark/>
          </w:tcPr>
          <w:p w:rsidR="00E1024E" w:rsidRPr="001F28F7" w:rsidRDefault="00E1024E" w:rsidP="00E1024E">
            <w:pPr>
              <w:spacing w:after="0" w:line="240" w:lineRule="auto"/>
              <w:jc w:val="both"/>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VALLE MEXICO CENT</w:t>
            </w:r>
          </w:p>
        </w:tc>
        <w:tc>
          <w:tcPr>
            <w:tcW w:w="0" w:type="auto"/>
            <w:tcBorders>
              <w:top w:val="nil"/>
              <w:left w:val="nil"/>
              <w:bottom w:val="nil"/>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57.90%</w:t>
            </w:r>
          </w:p>
        </w:tc>
        <w:tc>
          <w:tcPr>
            <w:tcW w:w="0" w:type="auto"/>
            <w:tcBorders>
              <w:top w:val="nil"/>
              <w:left w:val="nil"/>
              <w:bottom w:val="nil"/>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42.10%</w:t>
            </w:r>
          </w:p>
        </w:tc>
        <w:tc>
          <w:tcPr>
            <w:tcW w:w="0" w:type="auto"/>
            <w:tcBorders>
              <w:top w:val="nil"/>
              <w:left w:val="nil"/>
              <w:bottom w:val="nil"/>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9</w:t>
            </w:r>
          </w:p>
        </w:tc>
        <w:tc>
          <w:tcPr>
            <w:tcW w:w="0" w:type="auto"/>
            <w:tcBorders>
              <w:top w:val="nil"/>
              <w:left w:val="nil"/>
              <w:bottom w:val="nil"/>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0.00%</w:t>
            </w:r>
          </w:p>
        </w:tc>
        <w:tc>
          <w:tcPr>
            <w:tcW w:w="0" w:type="auto"/>
            <w:tcBorders>
              <w:top w:val="nil"/>
              <w:left w:val="nil"/>
              <w:bottom w:val="nil"/>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-5.90%</w:t>
            </w:r>
          </w:p>
        </w:tc>
        <w:tc>
          <w:tcPr>
            <w:tcW w:w="0" w:type="auto"/>
            <w:tcBorders>
              <w:top w:val="nil"/>
              <w:left w:val="nil"/>
              <w:bottom w:val="nil"/>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-5.90%</w:t>
            </w:r>
          </w:p>
        </w:tc>
      </w:tr>
      <w:tr w:rsidR="00E1024E" w:rsidRPr="001F28F7" w:rsidTr="00E1024E">
        <w:trPr>
          <w:trHeight w:val="2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E1024E" w:rsidRPr="001F28F7" w:rsidRDefault="00E1024E" w:rsidP="00E1024E">
            <w:pPr>
              <w:spacing w:after="0" w:line="240" w:lineRule="auto"/>
              <w:jc w:val="both"/>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VALLE MEXICO SUR</w:t>
            </w:r>
          </w:p>
        </w:tc>
        <w:tc>
          <w:tcPr>
            <w:tcW w:w="0" w:type="auto"/>
            <w:tcBorders>
              <w:top w:val="nil"/>
              <w:left w:val="nil"/>
              <w:bottom w:val="single" w:sz="8" w:space="0" w:color="auto"/>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57.20%</w:t>
            </w:r>
          </w:p>
        </w:tc>
        <w:tc>
          <w:tcPr>
            <w:tcW w:w="0" w:type="auto"/>
            <w:tcBorders>
              <w:top w:val="nil"/>
              <w:left w:val="nil"/>
              <w:bottom w:val="single" w:sz="8" w:space="0" w:color="auto"/>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42.80%</w:t>
            </w:r>
          </w:p>
        </w:tc>
        <w:tc>
          <w:tcPr>
            <w:tcW w:w="0" w:type="auto"/>
            <w:tcBorders>
              <w:top w:val="nil"/>
              <w:left w:val="nil"/>
              <w:bottom w:val="single" w:sz="8" w:space="0" w:color="auto"/>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9</w:t>
            </w:r>
          </w:p>
        </w:tc>
        <w:tc>
          <w:tcPr>
            <w:tcW w:w="0" w:type="auto"/>
            <w:tcBorders>
              <w:top w:val="nil"/>
              <w:left w:val="nil"/>
              <w:bottom w:val="single" w:sz="8" w:space="0" w:color="auto"/>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0.00%</w:t>
            </w:r>
          </w:p>
        </w:tc>
        <w:tc>
          <w:tcPr>
            <w:tcW w:w="0" w:type="auto"/>
            <w:tcBorders>
              <w:top w:val="nil"/>
              <w:left w:val="nil"/>
              <w:bottom w:val="single" w:sz="8" w:space="0" w:color="auto"/>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-6.00%</w:t>
            </w:r>
          </w:p>
        </w:tc>
        <w:tc>
          <w:tcPr>
            <w:tcW w:w="0" w:type="auto"/>
            <w:tcBorders>
              <w:top w:val="nil"/>
              <w:left w:val="nil"/>
              <w:bottom w:val="single" w:sz="8" w:space="0" w:color="auto"/>
              <w:right w:val="single" w:sz="8" w:space="0" w:color="auto"/>
            </w:tcBorders>
            <w:shd w:val="clear" w:color="auto" w:fill="auto"/>
            <w:vAlign w:val="center"/>
            <w:hideMark/>
          </w:tcPr>
          <w:p w:rsidR="00E1024E" w:rsidRPr="001F28F7" w:rsidRDefault="00E1024E" w:rsidP="00E1024E">
            <w:pPr>
              <w:spacing w:after="0" w:line="240" w:lineRule="auto"/>
              <w:jc w:val="center"/>
              <w:rPr>
                <w:rFonts w:ascii="Arial Narrow" w:eastAsia="Times New Roman" w:hAnsi="Arial Narrow" w:cs="Times New Roman"/>
                <w:sz w:val="18"/>
                <w:szCs w:val="18"/>
                <w:lang w:eastAsia="es-MX"/>
              </w:rPr>
            </w:pPr>
            <w:r w:rsidRPr="001F28F7">
              <w:rPr>
                <w:rFonts w:ascii="Arial Narrow" w:eastAsia="Times New Roman" w:hAnsi="Arial Narrow" w:cs="Times New Roman"/>
                <w:sz w:val="18"/>
                <w:szCs w:val="18"/>
                <w:lang w:eastAsia="es-MX"/>
              </w:rPr>
              <w:t>-6.00%</w:t>
            </w:r>
          </w:p>
        </w:tc>
      </w:tr>
    </w:tbl>
    <w:p w:rsidR="00E1024E" w:rsidRPr="00814C47" w:rsidRDefault="00E1024E" w:rsidP="001F28F7"/>
    <w:p w:rsidR="00CF32B7" w:rsidRPr="00814C47" w:rsidRDefault="00003B67" w:rsidP="00B35D10">
      <w:pPr>
        <w:pStyle w:val="Prrafodelista"/>
        <w:keepNext/>
        <w:keepLines/>
        <w:numPr>
          <w:ilvl w:val="1"/>
          <w:numId w:val="15"/>
        </w:numPr>
        <w:spacing w:after="0" w:line="240" w:lineRule="auto"/>
        <w:ind w:left="648" w:hanging="648"/>
        <w:jc w:val="both"/>
        <w:outlineLvl w:val="0"/>
        <w:rPr>
          <w:rFonts w:ascii="Arial Narrow" w:eastAsiaTheme="majorEastAsia" w:hAnsi="Arial Narrow" w:cstheme="majorBidi"/>
          <w:b/>
          <w:bCs/>
          <w:color w:val="000000" w:themeColor="text1"/>
        </w:rPr>
      </w:pPr>
      <w:r w:rsidRPr="00814C47">
        <w:rPr>
          <w:rFonts w:ascii="Arial Narrow" w:eastAsiaTheme="majorEastAsia" w:hAnsi="Arial Narrow" w:cstheme="majorBidi"/>
          <w:b/>
          <w:bCs/>
          <w:color w:val="000000" w:themeColor="text1"/>
        </w:rPr>
        <w:t xml:space="preserve">Sendero de eficiencia en pérdidas técnicas y no técnicas </w:t>
      </w:r>
    </w:p>
    <w:p w:rsidR="00307170" w:rsidRPr="00814C47" w:rsidRDefault="00307170" w:rsidP="00814C47">
      <w:pPr>
        <w:spacing w:line="240" w:lineRule="auto"/>
        <w:jc w:val="both"/>
        <w:rPr>
          <w:rFonts w:ascii="Arial Narrow" w:hAnsi="Arial Narrow"/>
          <w:lang w:val="es-UY"/>
        </w:rPr>
      </w:pPr>
      <w:r w:rsidRPr="00814C47">
        <w:rPr>
          <w:rFonts w:ascii="Arial Narrow" w:hAnsi="Arial Narrow"/>
          <w:lang w:val="es-UY"/>
        </w:rPr>
        <w:t>Con el objetivo de cont</w:t>
      </w:r>
      <w:r w:rsidR="001F28F7">
        <w:rPr>
          <w:rFonts w:ascii="Arial Narrow" w:hAnsi="Arial Narrow"/>
          <w:lang w:val="es-UY"/>
        </w:rPr>
        <w:t>ar con un sector eléctrico</w:t>
      </w:r>
      <w:r w:rsidR="00B24898">
        <w:rPr>
          <w:rFonts w:ascii="Arial Narrow" w:hAnsi="Arial Narrow"/>
          <w:lang w:val="es-UY"/>
        </w:rPr>
        <w:t xml:space="preserve"> eficiente,</w:t>
      </w:r>
      <w:r w:rsidRPr="00814C47">
        <w:rPr>
          <w:rFonts w:ascii="Arial Narrow" w:hAnsi="Arial Narrow"/>
          <w:lang w:val="es-UY"/>
        </w:rPr>
        <w:t xml:space="preserve"> se incorporaron criterios de eficiencia en las pérdidas de energ</w:t>
      </w:r>
      <w:r w:rsidR="00B24898">
        <w:rPr>
          <w:rFonts w:ascii="Arial Narrow" w:hAnsi="Arial Narrow"/>
          <w:lang w:val="es-UY"/>
        </w:rPr>
        <w:t>ía reconocidas a cada una de las divisiones de distribución</w:t>
      </w:r>
      <w:r w:rsidRPr="00814C47">
        <w:rPr>
          <w:rFonts w:ascii="Arial Narrow" w:hAnsi="Arial Narrow"/>
          <w:lang w:val="es-UY"/>
        </w:rPr>
        <w:t>.</w:t>
      </w:r>
    </w:p>
    <w:p w:rsidR="00307170" w:rsidRPr="00814C47" w:rsidRDefault="00307170" w:rsidP="00814C47">
      <w:pPr>
        <w:spacing w:line="240" w:lineRule="auto"/>
        <w:jc w:val="both"/>
        <w:rPr>
          <w:rFonts w:ascii="Arial Narrow" w:hAnsi="Arial Narrow"/>
          <w:lang w:val="es-UY"/>
        </w:rPr>
      </w:pPr>
      <w:r w:rsidRPr="00814C47">
        <w:rPr>
          <w:rFonts w:ascii="Arial Narrow" w:hAnsi="Arial Narrow"/>
          <w:lang w:val="es-UY"/>
        </w:rPr>
        <w:t>Esto se logró al considerar informaci</w:t>
      </w:r>
      <w:r w:rsidR="00B24898">
        <w:rPr>
          <w:rFonts w:ascii="Arial Narrow" w:hAnsi="Arial Narrow"/>
          <w:lang w:val="es-UY"/>
        </w:rPr>
        <w:t>ón enviada</w:t>
      </w:r>
      <w:r w:rsidR="001F28F7">
        <w:rPr>
          <w:rFonts w:ascii="Arial Narrow" w:hAnsi="Arial Narrow"/>
          <w:lang w:val="es-UY"/>
        </w:rPr>
        <w:t xml:space="preserve"> por CFE para cada división de D</w:t>
      </w:r>
      <w:r w:rsidR="00B24898">
        <w:rPr>
          <w:rFonts w:ascii="Arial Narrow" w:hAnsi="Arial Narrow"/>
          <w:lang w:val="es-UY"/>
        </w:rPr>
        <w:t>istribución</w:t>
      </w:r>
      <w:r w:rsidRPr="00814C47">
        <w:rPr>
          <w:rFonts w:ascii="Arial Narrow" w:hAnsi="Arial Narrow"/>
          <w:lang w:val="es-UY"/>
        </w:rPr>
        <w:t xml:space="preserve"> y</w:t>
      </w:r>
      <w:r w:rsidR="00B24898">
        <w:rPr>
          <w:rFonts w:ascii="Arial Narrow" w:hAnsi="Arial Narrow"/>
          <w:lang w:val="es-UY"/>
        </w:rPr>
        <w:t xml:space="preserve"> dividida por nivel de tensión (</w:t>
      </w:r>
      <w:r w:rsidRPr="00814C47">
        <w:rPr>
          <w:rFonts w:ascii="Arial Narrow" w:hAnsi="Arial Narrow"/>
          <w:lang w:val="es-UY"/>
        </w:rPr>
        <w:t xml:space="preserve"> MT y BT):</w:t>
      </w:r>
    </w:p>
    <w:p w:rsidR="00307170" w:rsidRPr="00814C47" w:rsidRDefault="00307170" w:rsidP="0036279F">
      <w:pPr>
        <w:pStyle w:val="Prrafodelista"/>
        <w:numPr>
          <w:ilvl w:val="0"/>
          <w:numId w:val="13"/>
        </w:numPr>
        <w:spacing w:after="0" w:line="240" w:lineRule="auto"/>
        <w:contextualSpacing w:val="0"/>
        <w:jc w:val="both"/>
        <w:rPr>
          <w:rFonts w:ascii="Arial Narrow" w:hAnsi="Arial Narrow"/>
          <w:lang w:val="es-UY"/>
        </w:rPr>
      </w:pPr>
      <w:r w:rsidRPr="00814C47">
        <w:rPr>
          <w:rFonts w:ascii="Arial Narrow" w:hAnsi="Arial Narrow"/>
          <w:lang w:val="es-UY"/>
        </w:rPr>
        <w:t>Energía Recibida, en kWh;</w:t>
      </w:r>
    </w:p>
    <w:p w:rsidR="00307170" w:rsidRPr="00814C47" w:rsidRDefault="00307170" w:rsidP="0036279F">
      <w:pPr>
        <w:pStyle w:val="Prrafodelista"/>
        <w:numPr>
          <w:ilvl w:val="0"/>
          <w:numId w:val="13"/>
        </w:numPr>
        <w:spacing w:after="0" w:line="240" w:lineRule="auto"/>
        <w:contextualSpacing w:val="0"/>
        <w:jc w:val="both"/>
        <w:rPr>
          <w:rFonts w:ascii="Arial Narrow" w:hAnsi="Arial Narrow"/>
          <w:lang w:val="es-UY"/>
        </w:rPr>
      </w:pPr>
      <w:r w:rsidRPr="00814C47">
        <w:rPr>
          <w:rFonts w:ascii="Arial Narrow" w:hAnsi="Arial Narrow"/>
          <w:lang w:val="es-UY"/>
        </w:rPr>
        <w:t>Pérdidas Técnicas, en kWh;</w:t>
      </w:r>
    </w:p>
    <w:p w:rsidR="00307170" w:rsidRPr="00814C47" w:rsidRDefault="00307170" w:rsidP="0036279F">
      <w:pPr>
        <w:pStyle w:val="Prrafodelista"/>
        <w:numPr>
          <w:ilvl w:val="0"/>
          <w:numId w:val="13"/>
        </w:numPr>
        <w:spacing w:after="0" w:line="240" w:lineRule="auto"/>
        <w:contextualSpacing w:val="0"/>
        <w:jc w:val="both"/>
        <w:rPr>
          <w:rFonts w:ascii="Arial Narrow" w:hAnsi="Arial Narrow"/>
          <w:lang w:val="es-UY"/>
        </w:rPr>
      </w:pPr>
      <w:r w:rsidRPr="00814C47">
        <w:rPr>
          <w:rFonts w:ascii="Arial Narrow" w:hAnsi="Arial Narrow"/>
          <w:lang w:val="es-UY"/>
        </w:rPr>
        <w:t>Pérdidas Técnicas, como % de la energía recibida;</w:t>
      </w:r>
    </w:p>
    <w:p w:rsidR="00307170" w:rsidRPr="00814C47" w:rsidRDefault="00307170" w:rsidP="0036279F">
      <w:pPr>
        <w:pStyle w:val="Prrafodelista"/>
        <w:numPr>
          <w:ilvl w:val="0"/>
          <w:numId w:val="13"/>
        </w:numPr>
        <w:spacing w:after="0" w:line="240" w:lineRule="auto"/>
        <w:contextualSpacing w:val="0"/>
        <w:jc w:val="both"/>
        <w:rPr>
          <w:rFonts w:ascii="Arial Narrow" w:hAnsi="Arial Narrow"/>
          <w:lang w:val="es-UY"/>
        </w:rPr>
      </w:pPr>
      <w:r w:rsidRPr="00814C47">
        <w:rPr>
          <w:rFonts w:ascii="Arial Narrow" w:hAnsi="Arial Narrow"/>
          <w:lang w:val="es-UY"/>
        </w:rPr>
        <w:t>Pérdidas No Técnicas, en kWh;</w:t>
      </w:r>
    </w:p>
    <w:p w:rsidR="00307170" w:rsidRPr="00814C47" w:rsidRDefault="00307170" w:rsidP="0036279F">
      <w:pPr>
        <w:pStyle w:val="Prrafodelista"/>
        <w:numPr>
          <w:ilvl w:val="0"/>
          <w:numId w:val="13"/>
        </w:numPr>
        <w:spacing w:after="0" w:line="240" w:lineRule="auto"/>
        <w:contextualSpacing w:val="0"/>
        <w:jc w:val="both"/>
        <w:rPr>
          <w:rFonts w:ascii="Arial Narrow" w:hAnsi="Arial Narrow"/>
          <w:lang w:val="es-UY"/>
        </w:rPr>
      </w:pPr>
      <w:r w:rsidRPr="00814C47">
        <w:rPr>
          <w:rFonts w:ascii="Arial Narrow" w:hAnsi="Arial Narrow"/>
          <w:lang w:val="es-UY"/>
        </w:rPr>
        <w:t>Pérdidas No Técnicas, como % de la energía recibida;</w:t>
      </w:r>
    </w:p>
    <w:p w:rsidR="00307170" w:rsidRPr="00814C47" w:rsidRDefault="00307170" w:rsidP="0036279F">
      <w:pPr>
        <w:pStyle w:val="Prrafodelista"/>
        <w:numPr>
          <w:ilvl w:val="0"/>
          <w:numId w:val="13"/>
        </w:numPr>
        <w:spacing w:after="0" w:line="240" w:lineRule="auto"/>
        <w:contextualSpacing w:val="0"/>
        <w:jc w:val="both"/>
        <w:rPr>
          <w:rFonts w:ascii="Arial Narrow" w:hAnsi="Arial Narrow"/>
          <w:lang w:val="es-UY"/>
        </w:rPr>
      </w:pPr>
      <w:r w:rsidRPr="00814C47">
        <w:rPr>
          <w:rFonts w:ascii="Arial Narrow" w:hAnsi="Arial Narrow"/>
          <w:lang w:val="es-UY"/>
        </w:rPr>
        <w:t>Pérdidas Totales, en kWh;</w:t>
      </w:r>
    </w:p>
    <w:p w:rsidR="00307170" w:rsidRPr="00814C47" w:rsidRDefault="00307170" w:rsidP="0036279F">
      <w:pPr>
        <w:pStyle w:val="Prrafodelista"/>
        <w:numPr>
          <w:ilvl w:val="0"/>
          <w:numId w:val="13"/>
        </w:numPr>
        <w:spacing w:after="0" w:line="240" w:lineRule="auto"/>
        <w:contextualSpacing w:val="0"/>
        <w:jc w:val="both"/>
        <w:rPr>
          <w:rFonts w:ascii="Arial Narrow" w:hAnsi="Arial Narrow"/>
          <w:lang w:val="es-UY"/>
        </w:rPr>
      </w:pPr>
      <w:r w:rsidRPr="00814C47">
        <w:rPr>
          <w:rFonts w:ascii="Arial Narrow" w:hAnsi="Arial Narrow"/>
          <w:lang w:val="es-UY"/>
        </w:rPr>
        <w:t>Pérdidas Totales, como % de la energía recibida.</w:t>
      </w:r>
    </w:p>
    <w:p w:rsidR="00307170" w:rsidRPr="00B24898" w:rsidRDefault="00307170" w:rsidP="00B24898">
      <w:pPr>
        <w:spacing w:after="0" w:line="240" w:lineRule="auto"/>
        <w:jc w:val="both"/>
        <w:rPr>
          <w:rFonts w:ascii="Arial Narrow" w:hAnsi="Arial Narrow"/>
          <w:lang w:val="es-UY"/>
        </w:rPr>
      </w:pPr>
    </w:p>
    <w:p w:rsidR="00CF32B7" w:rsidRPr="00814C47" w:rsidRDefault="00307170" w:rsidP="00814C47">
      <w:pPr>
        <w:spacing w:line="240" w:lineRule="auto"/>
        <w:jc w:val="both"/>
        <w:rPr>
          <w:rFonts w:ascii="Arial Narrow" w:hAnsi="Arial Narrow"/>
          <w:lang w:val="es-UY"/>
        </w:rPr>
      </w:pPr>
      <w:r w:rsidRPr="00814C47">
        <w:rPr>
          <w:rFonts w:ascii="Arial Narrow" w:hAnsi="Arial Narrow"/>
          <w:lang w:val="es-UY"/>
        </w:rPr>
        <w:t>Con esta información se determinó el porcentaje de pérdidas técnicas y no técni</w:t>
      </w:r>
      <w:r w:rsidR="00682CB3" w:rsidRPr="00814C47">
        <w:rPr>
          <w:rFonts w:ascii="Arial Narrow" w:hAnsi="Arial Narrow"/>
          <w:lang w:val="es-UY"/>
        </w:rPr>
        <w:t>cas del año base (2014).</w:t>
      </w:r>
      <w:r w:rsidRPr="00814C47">
        <w:rPr>
          <w:rFonts w:ascii="Arial Narrow" w:hAnsi="Arial Narrow"/>
          <w:lang w:val="es-UY"/>
        </w:rPr>
        <w:t xml:space="preserve"> </w:t>
      </w:r>
      <w:r w:rsidR="00682CB3" w:rsidRPr="00814C47">
        <w:rPr>
          <w:rFonts w:ascii="Arial Narrow" w:hAnsi="Arial Narrow"/>
          <w:lang w:val="es-UY"/>
        </w:rPr>
        <w:t>No se consideraron metas de eficiencia para las pérdidas no técnicas en el primer año de</w:t>
      </w:r>
      <w:r w:rsidR="00E26B5C">
        <w:rPr>
          <w:rFonts w:ascii="Arial Narrow" w:hAnsi="Arial Narrow"/>
          <w:lang w:val="es-UY"/>
        </w:rPr>
        <w:t>l periodo tarifario inicial</w:t>
      </w:r>
      <w:r w:rsidR="00682CB3" w:rsidRPr="00814C47">
        <w:rPr>
          <w:rFonts w:ascii="Arial Narrow" w:hAnsi="Arial Narrow"/>
          <w:lang w:val="es-UY"/>
        </w:rPr>
        <w:t xml:space="preserve">, 2016. Las metas de eficiencia en pérdidas no técnicas comienzan a aplicarse en 2017. Sin embargo, en el caso de las metas de eficiencia </w:t>
      </w:r>
      <w:r w:rsidR="00B24898">
        <w:rPr>
          <w:rFonts w:ascii="Arial Narrow" w:hAnsi="Arial Narrow"/>
          <w:lang w:val="es-UY"/>
        </w:rPr>
        <w:t>en pérdidas técnicas,</w:t>
      </w:r>
      <w:r w:rsidR="00682CB3" w:rsidRPr="00814C47">
        <w:rPr>
          <w:rFonts w:ascii="Arial Narrow" w:hAnsi="Arial Narrow"/>
          <w:lang w:val="es-UY"/>
        </w:rPr>
        <w:t xml:space="preserve"> comienzan a aplicarse en 2016.</w:t>
      </w:r>
    </w:p>
    <w:p w:rsidR="00F363DA" w:rsidRDefault="00F363DA" w:rsidP="00814C47">
      <w:pPr>
        <w:overflowPunct w:val="0"/>
        <w:spacing w:line="240" w:lineRule="auto"/>
        <w:contextualSpacing/>
        <w:jc w:val="both"/>
        <w:textAlignment w:val="baseline"/>
        <w:rPr>
          <w:rFonts w:ascii="Arial Narrow" w:eastAsia="Microsoft YaHei" w:hAnsi="Arial Narrow"/>
          <w:color w:val="262626"/>
          <w:kern w:val="24"/>
          <w:lang w:val="es-AR" w:eastAsia="es-MX"/>
        </w:rPr>
      </w:pPr>
      <w:r w:rsidRPr="00814C47">
        <w:rPr>
          <w:rFonts w:ascii="Arial Narrow" w:eastAsia="Microsoft YaHei" w:hAnsi="Arial Narrow"/>
          <w:color w:val="262626"/>
          <w:kern w:val="24"/>
          <w:lang w:val="es-AR" w:eastAsia="es-MX"/>
        </w:rPr>
        <w:t xml:space="preserve">La siguiente tabla resume el porcentaje de pérdidas técnicas y no técnicas observado en el año base 2014. En el caso de las pérdidas técnicas es posible observar que el sendero de reducción de pérdidas </w:t>
      </w:r>
      <w:r w:rsidR="00EC26B1">
        <w:rPr>
          <w:rFonts w:ascii="Arial Narrow" w:eastAsia="Microsoft YaHei" w:hAnsi="Arial Narrow"/>
          <w:color w:val="262626"/>
          <w:kern w:val="24"/>
          <w:lang w:val="es-AR" w:eastAsia="es-MX"/>
        </w:rPr>
        <w:t>comienza en 2016 para aquellas D</w:t>
      </w:r>
      <w:r w:rsidR="00B24898">
        <w:rPr>
          <w:rFonts w:ascii="Arial Narrow" w:eastAsia="Microsoft YaHei" w:hAnsi="Arial Narrow"/>
          <w:color w:val="262626"/>
          <w:kern w:val="24"/>
          <w:lang w:val="es-AR" w:eastAsia="es-MX"/>
        </w:rPr>
        <w:t>ivisiones de distribución</w:t>
      </w:r>
      <w:r w:rsidRPr="00814C47">
        <w:rPr>
          <w:rFonts w:ascii="Arial Narrow" w:eastAsia="Microsoft YaHei" w:hAnsi="Arial Narrow"/>
          <w:color w:val="262626"/>
          <w:kern w:val="24"/>
          <w:lang w:val="es-AR" w:eastAsia="es-MX"/>
        </w:rPr>
        <w:t xml:space="preserve"> que se encuentren por arriba del 5% de pérdidas en el año base. Mientras que en el caso de las pérdidas no técnicas para el año 2016 se reconoce la misma cantidad de pérdidas que en el año base y a partir de 2017 se inicia el sendero </w:t>
      </w:r>
      <w:r w:rsidR="00B24898">
        <w:rPr>
          <w:rFonts w:ascii="Arial Narrow" w:eastAsia="Microsoft YaHei" w:hAnsi="Arial Narrow"/>
          <w:color w:val="262626"/>
          <w:kern w:val="24"/>
          <w:lang w:val="es-AR" w:eastAsia="es-MX"/>
        </w:rPr>
        <w:t>de reducci</w:t>
      </w:r>
      <w:r w:rsidR="00EC26B1">
        <w:rPr>
          <w:rFonts w:ascii="Arial Narrow" w:eastAsia="Microsoft YaHei" w:hAnsi="Arial Narrow"/>
          <w:color w:val="262626"/>
          <w:kern w:val="24"/>
          <w:lang w:val="es-AR" w:eastAsia="es-MX"/>
        </w:rPr>
        <w:t>ón para aquellas divisiones de D</w:t>
      </w:r>
      <w:r w:rsidR="00B24898">
        <w:rPr>
          <w:rFonts w:ascii="Arial Narrow" w:eastAsia="Microsoft YaHei" w:hAnsi="Arial Narrow"/>
          <w:color w:val="262626"/>
          <w:kern w:val="24"/>
          <w:lang w:val="es-AR" w:eastAsia="es-MX"/>
        </w:rPr>
        <w:t xml:space="preserve">istribución </w:t>
      </w:r>
      <w:r w:rsidRPr="00814C47">
        <w:rPr>
          <w:rFonts w:ascii="Arial Narrow" w:eastAsia="Microsoft YaHei" w:hAnsi="Arial Narrow"/>
          <w:color w:val="262626"/>
          <w:kern w:val="24"/>
          <w:lang w:val="es-AR" w:eastAsia="es-MX"/>
        </w:rPr>
        <w:t>con porcentaje de pérdidas no técnicas mayores a 5%.</w:t>
      </w:r>
    </w:p>
    <w:p w:rsidR="00CC79EC" w:rsidRDefault="00CC79EC" w:rsidP="00814C47">
      <w:pPr>
        <w:overflowPunct w:val="0"/>
        <w:spacing w:line="240" w:lineRule="auto"/>
        <w:contextualSpacing/>
        <w:jc w:val="both"/>
        <w:textAlignment w:val="baseline"/>
        <w:rPr>
          <w:rFonts w:ascii="Arial Narrow" w:eastAsia="Microsoft YaHei" w:hAnsi="Arial Narrow"/>
          <w:color w:val="262626"/>
          <w:kern w:val="24"/>
          <w:lang w:val="es-AR" w:eastAsia="es-MX"/>
        </w:rPr>
      </w:pPr>
    </w:p>
    <w:p w:rsidR="00CC79EC" w:rsidRDefault="00CC79EC" w:rsidP="00814C47">
      <w:pPr>
        <w:overflowPunct w:val="0"/>
        <w:spacing w:line="240" w:lineRule="auto"/>
        <w:contextualSpacing/>
        <w:jc w:val="both"/>
        <w:textAlignment w:val="baseline"/>
        <w:rPr>
          <w:rFonts w:ascii="Arial Narrow" w:eastAsia="Microsoft YaHei" w:hAnsi="Arial Narrow"/>
          <w:color w:val="262626"/>
          <w:kern w:val="24"/>
          <w:lang w:val="es-AR" w:eastAsia="es-MX"/>
        </w:rPr>
      </w:pPr>
    </w:p>
    <w:p w:rsidR="00CC79EC" w:rsidRDefault="00CC79EC" w:rsidP="00814C47">
      <w:pPr>
        <w:overflowPunct w:val="0"/>
        <w:spacing w:line="240" w:lineRule="auto"/>
        <w:contextualSpacing/>
        <w:jc w:val="both"/>
        <w:textAlignment w:val="baseline"/>
        <w:rPr>
          <w:rFonts w:ascii="Arial Narrow" w:eastAsia="Microsoft YaHei" w:hAnsi="Arial Narrow"/>
          <w:color w:val="262626"/>
          <w:kern w:val="24"/>
          <w:lang w:val="es-AR" w:eastAsia="es-MX"/>
        </w:rPr>
      </w:pPr>
    </w:p>
    <w:p w:rsidR="00CC79EC" w:rsidRDefault="00CC79EC" w:rsidP="00814C47">
      <w:pPr>
        <w:overflowPunct w:val="0"/>
        <w:spacing w:line="240" w:lineRule="auto"/>
        <w:contextualSpacing/>
        <w:jc w:val="both"/>
        <w:textAlignment w:val="baseline"/>
        <w:rPr>
          <w:rFonts w:ascii="Arial Narrow" w:eastAsia="Microsoft YaHei" w:hAnsi="Arial Narrow"/>
          <w:color w:val="262626"/>
          <w:kern w:val="24"/>
          <w:lang w:val="es-AR" w:eastAsia="es-MX"/>
        </w:rPr>
      </w:pPr>
    </w:p>
    <w:p w:rsidR="00CC79EC" w:rsidRPr="00814C47" w:rsidRDefault="00CC79EC" w:rsidP="00814C47">
      <w:pPr>
        <w:overflowPunct w:val="0"/>
        <w:spacing w:line="240" w:lineRule="auto"/>
        <w:contextualSpacing/>
        <w:jc w:val="both"/>
        <w:textAlignment w:val="baseline"/>
        <w:rPr>
          <w:rFonts w:ascii="Arial Narrow" w:eastAsia="Microsoft YaHei" w:hAnsi="Arial Narrow"/>
          <w:color w:val="262626"/>
          <w:kern w:val="24"/>
          <w:lang w:val="es-AR" w:eastAsia="es-MX"/>
        </w:rPr>
      </w:pPr>
    </w:p>
    <w:p w:rsidR="00F363DA" w:rsidRPr="00814C47" w:rsidRDefault="00F363DA" w:rsidP="00814C47">
      <w:pPr>
        <w:overflowPunct w:val="0"/>
        <w:spacing w:line="240" w:lineRule="auto"/>
        <w:contextualSpacing/>
        <w:jc w:val="both"/>
        <w:textAlignment w:val="baseline"/>
        <w:rPr>
          <w:rFonts w:ascii="Arial Narrow" w:eastAsia="Microsoft YaHei" w:hAnsi="Arial Narrow"/>
          <w:color w:val="262626"/>
          <w:kern w:val="24"/>
          <w:lang w:val="es-AR" w:eastAsia="es-MX"/>
        </w:rPr>
      </w:pPr>
    </w:p>
    <w:p w:rsidR="00F363DA" w:rsidRPr="008F66CD" w:rsidRDefault="00F363DA" w:rsidP="00182D4E">
      <w:pPr>
        <w:pStyle w:val="Descripcin"/>
        <w:spacing w:after="120"/>
        <w:jc w:val="center"/>
        <w:rPr>
          <w:sz w:val="20"/>
          <w:szCs w:val="20"/>
        </w:rPr>
      </w:pPr>
      <w:r w:rsidRPr="008F66CD">
        <w:rPr>
          <w:sz w:val="20"/>
          <w:szCs w:val="20"/>
        </w:rPr>
        <w:lastRenderedPageBreak/>
        <w:t xml:space="preserve">Tabla </w:t>
      </w:r>
      <w:r w:rsidRPr="008F66CD">
        <w:rPr>
          <w:sz w:val="20"/>
          <w:szCs w:val="20"/>
        </w:rPr>
        <w:fldChar w:fldCharType="begin"/>
      </w:r>
      <w:r w:rsidRPr="008F66CD">
        <w:rPr>
          <w:sz w:val="20"/>
          <w:szCs w:val="20"/>
        </w:rPr>
        <w:instrText xml:space="preserve"> SEQ Tabla \* ARABIC </w:instrText>
      </w:r>
      <w:r w:rsidRPr="008F66CD">
        <w:rPr>
          <w:sz w:val="20"/>
          <w:szCs w:val="20"/>
        </w:rPr>
        <w:fldChar w:fldCharType="separate"/>
      </w:r>
      <w:r w:rsidR="00E1024E">
        <w:rPr>
          <w:noProof/>
          <w:sz w:val="20"/>
          <w:szCs w:val="20"/>
        </w:rPr>
        <w:t>12</w:t>
      </w:r>
      <w:r w:rsidRPr="008F66CD">
        <w:rPr>
          <w:sz w:val="20"/>
          <w:szCs w:val="20"/>
        </w:rPr>
        <w:fldChar w:fldCharType="end"/>
      </w:r>
      <w:r w:rsidRPr="008F66CD">
        <w:rPr>
          <w:sz w:val="20"/>
          <w:szCs w:val="20"/>
        </w:rPr>
        <w:t>. Senderos de efici</w:t>
      </w:r>
      <w:r w:rsidR="00B24898">
        <w:rPr>
          <w:sz w:val="20"/>
          <w:szCs w:val="20"/>
        </w:rPr>
        <w:t xml:space="preserve">encia en Pérdidas técnicas y no </w:t>
      </w:r>
      <w:r w:rsidRPr="008F66CD">
        <w:rPr>
          <w:sz w:val="20"/>
          <w:szCs w:val="20"/>
        </w:rPr>
        <w:t>técnicas</w:t>
      </w:r>
    </w:p>
    <w:tbl>
      <w:tblPr>
        <w:tblpPr w:leftFromText="141" w:rightFromText="141" w:vertAnchor="text" w:horzAnchor="margin" w:tblpX="170" w:tblpY="30"/>
        <w:tblW w:w="8091" w:type="dxa"/>
        <w:tblCellMar>
          <w:left w:w="70" w:type="dxa"/>
          <w:right w:w="70" w:type="dxa"/>
        </w:tblCellMar>
        <w:tblLook w:val="04A0" w:firstRow="1" w:lastRow="0" w:firstColumn="1" w:lastColumn="0" w:noHBand="0" w:noVBand="1"/>
      </w:tblPr>
      <w:tblGrid>
        <w:gridCol w:w="1970"/>
        <w:gridCol w:w="1037"/>
        <w:gridCol w:w="720"/>
        <w:gridCol w:w="644"/>
        <w:gridCol w:w="644"/>
        <w:gridCol w:w="994"/>
        <w:gridCol w:w="688"/>
        <w:gridCol w:w="697"/>
        <w:gridCol w:w="697"/>
      </w:tblGrid>
      <w:tr w:rsidR="00F363DA" w:rsidRPr="00EC26B1" w:rsidTr="00EC26B1">
        <w:trPr>
          <w:trHeight w:val="20"/>
        </w:trPr>
        <w:tc>
          <w:tcPr>
            <w:tcW w:w="1970" w:type="dxa"/>
            <w:vMerge w:val="restart"/>
            <w:tcBorders>
              <w:top w:val="single" w:sz="8" w:space="0" w:color="auto"/>
              <w:left w:val="single" w:sz="8" w:space="0" w:color="auto"/>
              <w:bottom w:val="single" w:sz="8" w:space="0" w:color="000000"/>
              <w:right w:val="single" w:sz="8" w:space="0" w:color="auto"/>
            </w:tcBorders>
            <w:shd w:val="clear" w:color="auto" w:fill="1F497D" w:themeFill="text2"/>
            <w:vAlign w:val="center"/>
            <w:hideMark/>
          </w:tcPr>
          <w:p w:rsidR="00F363DA" w:rsidRPr="00EC26B1" w:rsidRDefault="00AF7E8C" w:rsidP="00EC26B1">
            <w:pPr>
              <w:spacing w:after="0" w:line="240" w:lineRule="auto"/>
              <w:jc w:val="center"/>
              <w:rPr>
                <w:rFonts w:ascii="Arial Narrow" w:eastAsia="Times New Roman" w:hAnsi="Arial Narrow" w:cs="Times New Roman"/>
                <w:b/>
                <w:bCs/>
                <w:color w:val="FFFFFF"/>
                <w:sz w:val="18"/>
                <w:szCs w:val="18"/>
                <w:lang w:eastAsia="es-MX"/>
              </w:rPr>
            </w:pPr>
            <w:r>
              <w:rPr>
                <w:rFonts w:ascii="Arial Narrow" w:eastAsia="Times New Roman" w:hAnsi="Arial Narrow" w:cs="Times New Roman"/>
                <w:b/>
                <w:bCs/>
                <w:color w:val="FFFFFF"/>
                <w:sz w:val="18"/>
                <w:szCs w:val="18"/>
                <w:lang w:eastAsia="es-MX"/>
              </w:rPr>
              <w:t>División de Distribución</w:t>
            </w:r>
          </w:p>
        </w:tc>
        <w:tc>
          <w:tcPr>
            <w:tcW w:w="1037" w:type="dxa"/>
            <w:vMerge w:val="restart"/>
            <w:tcBorders>
              <w:top w:val="single" w:sz="8" w:space="0" w:color="auto"/>
              <w:left w:val="single" w:sz="8" w:space="0" w:color="auto"/>
              <w:bottom w:val="nil"/>
              <w:right w:val="single" w:sz="8" w:space="0" w:color="auto"/>
            </w:tcBorders>
            <w:shd w:val="clear" w:color="auto" w:fill="1F497D" w:themeFill="text2"/>
            <w:vAlign w:val="center"/>
            <w:hideMark/>
          </w:tcPr>
          <w:p w:rsidR="00F363DA" w:rsidRPr="00EC26B1" w:rsidRDefault="00F363DA" w:rsidP="00EC26B1">
            <w:pPr>
              <w:spacing w:after="0" w:line="240" w:lineRule="auto"/>
              <w:jc w:val="center"/>
              <w:rPr>
                <w:rFonts w:ascii="Arial Narrow" w:eastAsia="Times New Roman" w:hAnsi="Arial Narrow" w:cs="Times New Roman"/>
                <w:b/>
                <w:bCs/>
                <w:color w:val="FFFFFF"/>
                <w:sz w:val="18"/>
                <w:szCs w:val="18"/>
                <w:lang w:eastAsia="es-MX"/>
              </w:rPr>
            </w:pPr>
            <w:r w:rsidRPr="00EC26B1">
              <w:rPr>
                <w:rFonts w:ascii="Arial Narrow" w:eastAsia="Times New Roman" w:hAnsi="Arial Narrow" w:cs="Times New Roman"/>
                <w:b/>
                <w:bCs/>
                <w:color w:val="FFFFFF"/>
                <w:sz w:val="18"/>
                <w:szCs w:val="18"/>
                <w:lang w:eastAsia="es-MX"/>
              </w:rPr>
              <w:t>Porcentaje de Pérdidas técnicas</w:t>
            </w:r>
            <w:r w:rsidR="00B24898" w:rsidRPr="00EC26B1">
              <w:rPr>
                <w:rFonts w:ascii="Arial Narrow" w:eastAsia="Times New Roman" w:hAnsi="Arial Narrow" w:cs="Times New Roman"/>
                <w:b/>
                <w:bCs/>
                <w:color w:val="FFFFFF"/>
                <w:sz w:val="18"/>
                <w:szCs w:val="18"/>
                <w:lang w:eastAsia="es-MX"/>
              </w:rPr>
              <w:t xml:space="preserve"> </w:t>
            </w:r>
            <w:r w:rsidR="00B24898" w:rsidRPr="00E1024E">
              <w:rPr>
                <w:rFonts w:ascii="Arial Narrow" w:eastAsia="Times New Roman" w:hAnsi="Arial Narrow" w:cs="Times New Roman"/>
                <w:b/>
                <w:bCs/>
                <w:color w:val="FFFFFF"/>
                <w:sz w:val="16"/>
                <w:szCs w:val="18"/>
                <w:lang w:eastAsia="es-MX"/>
              </w:rPr>
              <w:t>(</w:t>
            </w:r>
            <w:r w:rsidRPr="00E1024E">
              <w:rPr>
                <w:rFonts w:ascii="Arial Narrow" w:eastAsia="Times New Roman" w:hAnsi="Arial Narrow" w:cs="Times New Roman"/>
                <w:b/>
                <w:bCs/>
                <w:color w:val="FFFFFF"/>
                <w:sz w:val="16"/>
                <w:szCs w:val="18"/>
                <w:lang w:eastAsia="es-MX"/>
              </w:rPr>
              <w:t>año base</w:t>
            </w:r>
            <w:r w:rsidR="00B24898" w:rsidRPr="00E1024E">
              <w:rPr>
                <w:rFonts w:ascii="Arial Narrow" w:eastAsia="Times New Roman" w:hAnsi="Arial Narrow" w:cs="Times New Roman"/>
                <w:b/>
                <w:bCs/>
                <w:color w:val="FFFFFF"/>
                <w:sz w:val="16"/>
                <w:szCs w:val="18"/>
                <w:lang w:eastAsia="es-MX"/>
              </w:rPr>
              <w:t>)</w:t>
            </w:r>
          </w:p>
        </w:tc>
        <w:tc>
          <w:tcPr>
            <w:tcW w:w="2008" w:type="dxa"/>
            <w:gridSpan w:val="3"/>
            <w:tcBorders>
              <w:top w:val="single" w:sz="8" w:space="0" w:color="auto"/>
              <w:left w:val="nil"/>
              <w:bottom w:val="single" w:sz="8" w:space="0" w:color="auto"/>
              <w:right w:val="single" w:sz="4" w:space="0" w:color="auto"/>
            </w:tcBorders>
            <w:shd w:val="clear" w:color="auto" w:fill="1F497D" w:themeFill="text2"/>
            <w:vAlign w:val="center"/>
            <w:hideMark/>
          </w:tcPr>
          <w:p w:rsidR="00F363DA" w:rsidRPr="00EC26B1" w:rsidRDefault="00B24898" w:rsidP="00EC26B1">
            <w:pPr>
              <w:spacing w:after="0" w:line="240" w:lineRule="auto"/>
              <w:jc w:val="center"/>
              <w:rPr>
                <w:rFonts w:ascii="Arial Narrow" w:eastAsia="Times New Roman" w:hAnsi="Arial Narrow" w:cs="Times New Roman"/>
                <w:b/>
                <w:bCs/>
                <w:color w:val="FFFFFF"/>
                <w:sz w:val="18"/>
                <w:szCs w:val="18"/>
                <w:lang w:eastAsia="es-MX"/>
              </w:rPr>
            </w:pPr>
            <w:r w:rsidRPr="00EC26B1">
              <w:rPr>
                <w:rFonts w:ascii="Arial Narrow" w:eastAsia="Times New Roman" w:hAnsi="Arial Narrow" w:cs="Times New Roman"/>
                <w:b/>
                <w:bCs/>
                <w:color w:val="FFFFFF"/>
                <w:sz w:val="18"/>
                <w:szCs w:val="18"/>
                <w:lang w:eastAsia="es-MX"/>
              </w:rPr>
              <w:t>Pérdidas t</w:t>
            </w:r>
            <w:r w:rsidR="00F363DA" w:rsidRPr="00EC26B1">
              <w:rPr>
                <w:rFonts w:ascii="Arial Narrow" w:eastAsia="Times New Roman" w:hAnsi="Arial Narrow" w:cs="Times New Roman"/>
                <w:b/>
                <w:bCs/>
                <w:color w:val="FFFFFF"/>
                <w:sz w:val="18"/>
                <w:szCs w:val="18"/>
                <w:lang w:eastAsia="es-MX"/>
              </w:rPr>
              <w:t>écnicas %</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F363DA" w:rsidRPr="00EC26B1" w:rsidRDefault="00B24898" w:rsidP="00EC26B1">
            <w:pPr>
              <w:spacing w:after="0" w:line="240" w:lineRule="auto"/>
              <w:jc w:val="center"/>
              <w:rPr>
                <w:rFonts w:ascii="Arial Narrow" w:eastAsia="Times New Roman" w:hAnsi="Arial Narrow" w:cs="Times New Roman"/>
                <w:b/>
                <w:bCs/>
                <w:color w:val="FFFFFF"/>
                <w:sz w:val="18"/>
                <w:szCs w:val="18"/>
                <w:lang w:eastAsia="es-MX"/>
              </w:rPr>
            </w:pPr>
            <w:r w:rsidRPr="00EC26B1">
              <w:rPr>
                <w:rFonts w:ascii="Arial Narrow" w:eastAsia="Times New Roman" w:hAnsi="Arial Narrow" w:cs="Times New Roman"/>
                <w:b/>
                <w:bCs/>
                <w:color w:val="FFFFFF"/>
                <w:sz w:val="18"/>
                <w:szCs w:val="18"/>
                <w:lang w:eastAsia="es-MX"/>
              </w:rPr>
              <w:t>Porcentaje de Pérdidas n</w:t>
            </w:r>
            <w:r w:rsidR="00F363DA" w:rsidRPr="00EC26B1">
              <w:rPr>
                <w:rFonts w:ascii="Arial Narrow" w:eastAsia="Times New Roman" w:hAnsi="Arial Narrow" w:cs="Times New Roman"/>
                <w:b/>
                <w:bCs/>
                <w:color w:val="FFFFFF"/>
                <w:sz w:val="18"/>
                <w:szCs w:val="18"/>
                <w:lang w:eastAsia="es-MX"/>
              </w:rPr>
              <w:t xml:space="preserve">o </w:t>
            </w:r>
            <w:r w:rsidR="008F66CD" w:rsidRPr="00EC26B1">
              <w:rPr>
                <w:rFonts w:ascii="Arial Narrow" w:eastAsia="Times New Roman" w:hAnsi="Arial Narrow" w:cs="Times New Roman"/>
                <w:b/>
                <w:bCs/>
                <w:color w:val="FFFFFF"/>
                <w:sz w:val="18"/>
                <w:szCs w:val="18"/>
                <w:lang w:eastAsia="es-MX"/>
              </w:rPr>
              <w:t>técnicas</w:t>
            </w:r>
            <w:r w:rsidR="00F363DA" w:rsidRPr="00EC26B1">
              <w:rPr>
                <w:rFonts w:ascii="Arial Narrow" w:eastAsia="Times New Roman" w:hAnsi="Arial Narrow" w:cs="Times New Roman"/>
                <w:b/>
                <w:bCs/>
                <w:color w:val="FFFFFF"/>
                <w:sz w:val="18"/>
                <w:szCs w:val="18"/>
                <w:lang w:eastAsia="es-MX"/>
              </w:rPr>
              <w:t xml:space="preserve"> </w:t>
            </w:r>
            <w:r w:rsidRPr="00E1024E">
              <w:rPr>
                <w:rFonts w:ascii="Arial Narrow" w:eastAsia="Times New Roman" w:hAnsi="Arial Narrow" w:cs="Times New Roman"/>
                <w:b/>
                <w:bCs/>
                <w:color w:val="FFFFFF"/>
                <w:sz w:val="16"/>
                <w:szCs w:val="18"/>
                <w:lang w:eastAsia="es-MX"/>
              </w:rPr>
              <w:t>(</w:t>
            </w:r>
            <w:r w:rsidR="00F363DA" w:rsidRPr="00E1024E">
              <w:rPr>
                <w:rFonts w:ascii="Arial Narrow" w:eastAsia="Times New Roman" w:hAnsi="Arial Narrow" w:cs="Times New Roman"/>
                <w:b/>
                <w:bCs/>
                <w:color w:val="FFFFFF"/>
                <w:sz w:val="16"/>
                <w:szCs w:val="18"/>
                <w:lang w:eastAsia="es-MX"/>
              </w:rPr>
              <w:t>año base</w:t>
            </w:r>
            <w:r w:rsidRPr="00E1024E">
              <w:rPr>
                <w:rFonts w:ascii="Arial Narrow" w:eastAsia="Times New Roman" w:hAnsi="Arial Narrow" w:cs="Times New Roman"/>
                <w:b/>
                <w:bCs/>
                <w:color w:val="FFFFFF"/>
                <w:sz w:val="16"/>
                <w:szCs w:val="18"/>
                <w:lang w:eastAsia="es-MX"/>
              </w:rPr>
              <w:t>)</w:t>
            </w:r>
          </w:p>
        </w:tc>
        <w:tc>
          <w:tcPr>
            <w:tcW w:w="2082" w:type="dxa"/>
            <w:gridSpan w:val="3"/>
            <w:tcBorders>
              <w:top w:val="single" w:sz="8" w:space="0" w:color="auto"/>
              <w:left w:val="single" w:sz="4" w:space="0" w:color="auto"/>
              <w:bottom w:val="single" w:sz="8" w:space="0" w:color="auto"/>
              <w:right w:val="single" w:sz="8" w:space="0" w:color="000000"/>
            </w:tcBorders>
            <w:shd w:val="clear" w:color="auto" w:fill="1F497D" w:themeFill="text2"/>
            <w:vAlign w:val="center"/>
            <w:hideMark/>
          </w:tcPr>
          <w:p w:rsidR="00F363DA" w:rsidRPr="00EC26B1" w:rsidRDefault="00B24898" w:rsidP="00EC26B1">
            <w:pPr>
              <w:spacing w:after="0" w:line="240" w:lineRule="auto"/>
              <w:jc w:val="center"/>
              <w:rPr>
                <w:rFonts w:ascii="Arial Narrow" w:eastAsia="Times New Roman" w:hAnsi="Arial Narrow" w:cs="Times New Roman"/>
                <w:b/>
                <w:bCs/>
                <w:color w:val="FFFFFF"/>
                <w:sz w:val="18"/>
                <w:szCs w:val="18"/>
                <w:lang w:eastAsia="es-MX"/>
              </w:rPr>
            </w:pPr>
            <w:r w:rsidRPr="00EC26B1">
              <w:rPr>
                <w:rFonts w:ascii="Arial Narrow" w:eastAsia="Times New Roman" w:hAnsi="Arial Narrow" w:cs="Times New Roman"/>
                <w:b/>
                <w:bCs/>
                <w:color w:val="FFFFFF"/>
                <w:sz w:val="18"/>
                <w:szCs w:val="18"/>
                <w:lang w:eastAsia="es-MX"/>
              </w:rPr>
              <w:t>Pérdidas no t</w:t>
            </w:r>
            <w:r w:rsidR="00F363DA" w:rsidRPr="00EC26B1">
              <w:rPr>
                <w:rFonts w:ascii="Arial Narrow" w:eastAsia="Times New Roman" w:hAnsi="Arial Narrow" w:cs="Times New Roman"/>
                <w:b/>
                <w:bCs/>
                <w:color w:val="FFFFFF"/>
                <w:sz w:val="18"/>
                <w:szCs w:val="18"/>
                <w:lang w:eastAsia="es-MX"/>
              </w:rPr>
              <w:t>écnicas %</w:t>
            </w:r>
          </w:p>
        </w:tc>
      </w:tr>
      <w:tr w:rsidR="00F363DA" w:rsidRPr="00EC26B1" w:rsidTr="00EC26B1">
        <w:trPr>
          <w:trHeight w:val="20"/>
        </w:trPr>
        <w:tc>
          <w:tcPr>
            <w:tcW w:w="1970" w:type="dxa"/>
            <w:vMerge/>
            <w:tcBorders>
              <w:top w:val="single" w:sz="8" w:space="0" w:color="auto"/>
              <w:left w:val="single" w:sz="8" w:space="0" w:color="auto"/>
              <w:bottom w:val="single" w:sz="8" w:space="0" w:color="000000"/>
              <w:right w:val="single" w:sz="8" w:space="0" w:color="auto"/>
            </w:tcBorders>
            <w:shd w:val="clear" w:color="auto" w:fill="1F497D" w:themeFill="text2"/>
            <w:vAlign w:val="center"/>
            <w:hideMark/>
          </w:tcPr>
          <w:p w:rsidR="00F363DA" w:rsidRPr="00EC26B1" w:rsidRDefault="00F363DA" w:rsidP="00EC26B1">
            <w:pPr>
              <w:spacing w:after="0" w:line="240" w:lineRule="auto"/>
              <w:jc w:val="both"/>
              <w:rPr>
                <w:rFonts w:ascii="Arial Narrow" w:eastAsia="Times New Roman" w:hAnsi="Arial Narrow" w:cs="Times New Roman"/>
                <w:b/>
                <w:bCs/>
                <w:color w:val="FFFFFF"/>
                <w:sz w:val="18"/>
                <w:szCs w:val="18"/>
                <w:lang w:eastAsia="es-MX"/>
              </w:rPr>
            </w:pPr>
          </w:p>
        </w:tc>
        <w:tc>
          <w:tcPr>
            <w:tcW w:w="1037" w:type="dxa"/>
            <w:vMerge/>
            <w:tcBorders>
              <w:top w:val="single" w:sz="8" w:space="0" w:color="auto"/>
              <w:left w:val="single" w:sz="8" w:space="0" w:color="auto"/>
              <w:bottom w:val="nil"/>
              <w:right w:val="single" w:sz="8" w:space="0" w:color="auto"/>
            </w:tcBorders>
            <w:shd w:val="clear" w:color="auto" w:fill="1F497D" w:themeFill="text2"/>
            <w:vAlign w:val="center"/>
            <w:hideMark/>
          </w:tcPr>
          <w:p w:rsidR="00F363DA" w:rsidRPr="00EC26B1" w:rsidRDefault="00F363DA" w:rsidP="00EC26B1">
            <w:pPr>
              <w:spacing w:after="0" w:line="240" w:lineRule="auto"/>
              <w:jc w:val="both"/>
              <w:rPr>
                <w:rFonts w:ascii="Arial Narrow" w:eastAsia="Times New Roman" w:hAnsi="Arial Narrow" w:cs="Times New Roman"/>
                <w:b/>
                <w:bCs/>
                <w:color w:val="FFFFFF"/>
                <w:sz w:val="18"/>
                <w:szCs w:val="18"/>
                <w:lang w:eastAsia="es-MX"/>
              </w:rPr>
            </w:pPr>
          </w:p>
        </w:tc>
        <w:tc>
          <w:tcPr>
            <w:tcW w:w="720" w:type="dxa"/>
            <w:tcBorders>
              <w:top w:val="nil"/>
              <w:left w:val="nil"/>
              <w:bottom w:val="nil"/>
              <w:right w:val="single" w:sz="4" w:space="0" w:color="auto"/>
            </w:tcBorders>
            <w:shd w:val="clear" w:color="auto" w:fill="1F497D" w:themeFill="text2"/>
            <w:vAlign w:val="center"/>
            <w:hideMark/>
          </w:tcPr>
          <w:p w:rsidR="00F363DA" w:rsidRPr="00EC26B1" w:rsidRDefault="00F363DA" w:rsidP="00EC26B1">
            <w:pPr>
              <w:tabs>
                <w:tab w:val="left" w:pos="650"/>
              </w:tabs>
              <w:spacing w:after="0" w:line="240" w:lineRule="auto"/>
              <w:jc w:val="center"/>
              <w:rPr>
                <w:rFonts w:ascii="Arial Narrow" w:eastAsia="Times New Roman" w:hAnsi="Arial Narrow" w:cs="Times New Roman"/>
                <w:b/>
                <w:bCs/>
                <w:color w:val="FFFFFF"/>
                <w:sz w:val="18"/>
                <w:szCs w:val="18"/>
                <w:lang w:eastAsia="es-MX"/>
              </w:rPr>
            </w:pPr>
            <w:r w:rsidRPr="00EC26B1">
              <w:rPr>
                <w:rFonts w:ascii="Arial Narrow" w:eastAsia="Times New Roman" w:hAnsi="Arial Narrow" w:cs="Times New Roman"/>
                <w:b/>
                <w:bCs/>
                <w:color w:val="FFFFFF"/>
                <w:sz w:val="18"/>
                <w:szCs w:val="18"/>
                <w:lang w:eastAsia="es-MX"/>
              </w:rPr>
              <w:t>Año 2016</w:t>
            </w:r>
          </w:p>
        </w:tc>
        <w:tc>
          <w:tcPr>
            <w:tcW w:w="0" w:type="auto"/>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F363DA" w:rsidRPr="00EC26B1" w:rsidRDefault="00F363DA" w:rsidP="00EC26B1">
            <w:pPr>
              <w:spacing w:after="0" w:line="240" w:lineRule="auto"/>
              <w:jc w:val="center"/>
              <w:rPr>
                <w:rFonts w:ascii="Arial Narrow" w:eastAsia="Times New Roman" w:hAnsi="Arial Narrow" w:cs="Times New Roman"/>
                <w:b/>
                <w:bCs/>
                <w:color w:val="FFFFFF"/>
                <w:sz w:val="18"/>
                <w:szCs w:val="18"/>
                <w:lang w:eastAsia="es-MX"/>
              </w:rPr>
            </w:pPr>
            <w:r w:rsidRPr="00EC26B1">
              <w:rPr>
                <w:rFonts w:ascii="Arial Narrow" w:eastAsia="Times New Roman" w:hAnsi="Arial Narrow" w:cs="Times New Roman"/>
                <w:b/>
                <w:bCs/>
                <w:color w:val="FFFFFF"/>
                <w:sz w:val="18"/>
                <w:szCs w:val="18"/>
                <w:lang w:eastAsia="es-MX"/>
              </w:rPr>
              <w:t>Año 2017</w:t>
            </w:r>
          </w:p>
        </w:tc>
        <w:tc>
          <w:tcPr>
            <w:tcW w:w="0" w:type="auto"/>
            <w:tcBorders>
              <w:top w:val="nil"/>
              <w:left w:val="single" w:sz="4" w:space="0" w:color="auto"/>
              <w:bottom w:val="nil"/>
              <w:right w:val="single" w:sz="4" w:space="0" w:color="auto"/>
            </w:tcBorders>
            <w:shd w:val="clear" w:color="auto" w:fill="1F497D" w:themeFill="text2"/>
            <w:vAlign w:val="center"/>
            <w:hideMark/>
          </w:tcPr>
          <w:p w:rsidR="00F363DA" w:rsidRPr="00EC26B1" w:rsidRDefault="00F363DA" w:rsidP="00EC26B1">
            <w:pPr>
              <w:spacing w:after="0" w:line="240" w:lineRule="auto"/>
              <w:jc w:val="center"/>
              <w:rPr>
                <w:rFonts w:ascii="Arial Narrow" w:eastAsia="Times New Roman" w:hAnsi="Arial Narrow" w:cs="Times New Roman"/>
                <w:b/>
                <w:bCs/>
                <w:color w:val="FFFFFF"/>
                <w:sz w:val="18"/>
                <w:szCs w:val="18"/>
                <w:lang w:eastAsia="es-MX"/>
              </w:rPr>
            </w:pPr>
            <w:r w:rsidRPr="00EC26B1">
              <w:rPr>
                <w:rFonts w:ascii="Arial Narrow" w:eastAsia="Times New Roman" w:hAnsi="Arial Narrow" w:cs="Times New Roman"/>
                <w:b/>
                <w:bCs/>
                <w:color w:val="FFFFFF"/>
                <w:sz w:val="18"/>
                <w:szCs w:val="18"/>
                <w:lang w:eastAsia="es-MX"/>
              </w:rPr>
              <w:t>Año 2018</w:t>
            </w:r>
          </w:p>
        </w:tc>
        <w:tc>
          <w:tcPr>
            <w:tcW w:w="994" w:type="dxa"/>
            <w:vMerge/>
            <w:tcBorders>
              <w:top w:val="single" w:sz="8" w:space="0" w:color="auto"/>
              <w:left w:val="single" w:sz="4" w:space="0" w:color="auto"/>
              <w:bottom w:val="single" w:sz="4" w:space="0" w:color="auto"/>
              <w:right w:val="single" w:sz="4" w:space="0" w:color="auto"/>
            </w:tcBorders>
            <w:shd w:val="clear" w:color="auto" w:fill="1F497D" w:themeFill="text2"/>
            <w:vAlign w:val="center"/>
            <w:hideMark/>
          </w:tcPr>
          <w:p w:rsidR="00F363DA" w:rsidRPr="00EC26B1" w:rsidRDefault="00F363DA" w:rsidP="00EC26B1">
            <w:pPr>
              <w:spacing w:after="0" w:line="240" w:lineRule="auto"/>
              <w:jc w:val="center"/>
              <w:rPr>
                <w:rFonts w:ascii="Arial Narrow" w:eastAsia="Times New Roman" w:hAnsi="Arial Narrow" w:cs="Times New Roman"/>
                <w:b/>
                <w:bCs/>
                <w:color w:val="FFFFFF"/>
                <w:sz w:val="18"/>
                <w:szCs w:val="18"/>
                <w:lang w:eastAsia="es-MX"/>
              </w:rPr>
            </w:pPr>
          </w:p>
        </w:tc>
        <w:tc>
          <w:tcPr>
            <w:tcW w:w="688"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F363DA" w:rsidRPr="00EC26B1" w:rsidRDefault="00F363DA" w:rsidP="00EC26B1">
            <w:pPr>
              <w:spacing w:after="0" w:line="240" w:lineRule="auto"/>
              <w:jc w:val="center"/>
              <w:rPr>
                <w:rFonts w:ascii="Arial Narrow" w:eastAsia="Times New Roman" w:hAnsi="Arial Narrow" w:cs="Times New Roman"/>
                <w:b/>
                <w:bCs/>
                <w:color w:val="FFFFFF"/>
                <w:sz w:val="18"/>
                <w:szCs w:val="18"/>
                <w:lang w:eastAsia="es-MX"/>
              </w:rPr>
            </w:pPr>
            <w:r w:rsidRPr="00EC26B1">
              <w:rPr>
                <w:rFonts w:ascii="Arial Narrow" w:eastAsia="Times New Roman" w:hAnsi="Arial Narrow" w:cs="Times New Roman"/>
                <w:b/>
                <w:bCs/>
                <w:color w:val="FFFFFF"/>
                <w:sz w:val="18"/>
                <w:szCs w:val="18"/>
                <w:lang w:eastAsia="es-MX"/>
              </w:rPr>
              <w:t>Año 2016</w:t>
            </w:r>
          </w:p>
        </w:tc>
        <w:tc>
          <w:tcPr>
            <w:tcW w:w="0" w:type="auto"/>
            <w:tcBorders>
              <w:top w:val="nil"/>
              <w:left w:val="single" w:sz="4" w:space="0" w:color="auto"/>
              <w:bottom w:val="nil"/>
              <w:right w:val="single" w:sz="8" w:space="0" w:color="auto"/>
            </w:tcBorders>
            <w:shd w:val="clear" w:color="auto" w:fill="1F497D" w:themeFill="text2"/>
            <w:vAlign w:val="center"/>
            <w:hideMark/>
          </w:tcPr>
          <w:p w:rsidR="00F363DA" w:rsidRPr="00EC26B1" w:rsidRDefault="00F363DA" w:rsidP="00EC26B1">
            <w:pPr>
              <w:spacing w:after="0" w:line="240" w:lineRule="auto"/>
              <w:jc w:val="center"/>
              <w:rPr>
                <w:rFonts w:ascii="Arial Narrow" w:eastAsia="Times New Roman" w:hAnsi="Arial Narrow" w:cs="Times New Roman"/>
                <w:b/>
                <w:bCs/>
                <w:color w:val="FFFFFF"/>
                <w:sz w:val="18"/>
                <w:szCs w:val="18"/>
                <w:lang w:eastAsia="es-MX"/>
              </w:rPr>
            </w:pPr>
            <w:r w:rsidRPr="00EC26B1">
              <w:rPr>
                <w:rFonts w:ascii="Arial Narrow" w:eastAsia="Times New Roman" w:hAnsi="Arial Narrow" w:cs="Times New Roman"/>
                <w:b/>
                <w:bCs/>
                <w:color w:val="FFFFFF"/>
                <w:sz w:val="18"/>
                <w:szCs w:val="18"/>
                <w:lang w:eastAsia="es-MX"/>
              </w:rPr>
              <w:t>Año 2017</w:t>
            </w:r>
          </w:p>
        </w:tc>
        <w:tc>
          <w:tcPr>
            <w:tcW w:w="0" w:type="auto"/>
            <w:tcBorders>
              <w:top w:val="nil"/>
              <w:left w:val="nil"/>
              <w:bottom w:val="nil"/>
              <w:right w:val="single" w:sz="8" w:space="0" w:color="auto"/>
            </w:tcBorders>
            <w:shd w:val="clear" w:color="auto" w:fill="1F497D" w:themeFill="text2"/>
            <w:vAlign w:val="center"/>
            <w:hideMark/>
          </w:tcPr>
          <w:p w:rsidR="00F363DA" w:rsidRPr="00EC26B1" w:rsidRDefault="00F363DA" w:rsidP="00EC26B1">
            <w:pPr>
              <w:spacing w:after="0" w:line="240" w:lineRule="auto"/>
              <w:jc w:val="center"/>
              <w:rPr>
                <w:rFonts w:ascii="Arial Narrow" w:eastAsia="Times New Roman" w:hAnsi="Arial Narrow" w:cs="Times New Roman"/>
                <w:b/>
                <w:bCs/>
                <w:color w:val="FFFFFF"/>
                <w:sz w:val="18"/>
                <w:szCs w:val="18"/>
                <w:lang w:eastAsia="es-MX"/>
              </w:rPr>
            </w:pPr>
            <w:r w:rsidRPr="00EC26B1">
              <w:rPr>
                <w:rFonts w:ascii="Arial Narrow" w:eastAsia="Times New Roman" w:hAnsi="Arial Narrow" w:cs="Times New Roman"/>
                <w:b/>
                <w:bCs/>
                <w:color w:val="FFFFFF"/>
                <w:sz w:val="18"/>
                <w:szCs w:val="18"/>
                <w:lang w:eastAsia="es-MX"/>
              </w:rPr>
              <w:t>Año 2018</w:t>
            </w:r>
          </w:p>
        </w:tc>
      </w:tr>
      <w:tr w:rsidR="00F363DA" w:rsidRPr="00EC26B1" w:rsidTr="00EC26B1">
        <w:trPr>
          <w:trHeight w:val="20"/>
        </w:trPr>
        <w:tc>
          <w:tcPr>
            <w:tcW w:w="1970" w:type="dxa"/>
            <w:tcBorders>
              <w:top w:val="nil"/>
              <w:left w:val="single" w:sz="8" w:space="0" w:color="auto"/>
              <w:bottom w:val="single" w:sz="8" w:space="0" w:color="FFFFFF"/>
              <w:right w:val="single" w:sz="8" w:space="0" w:color="auto"/>
            </w:tcBorders>
            <w:shd w:val="clear" w:color="auto" w:fill="auto"/>
            <w:vAlign w:val="center"/>
            <w:hideMark/>
          </w:tcPr>
          <w:p w:rsidR="00F363DA" w:rsidRPr="00EC26B1" w:rsidRDefault="00F363DA" w:rsidP="00EC26B1">
            <w:pPr>
              <w:spacing w:after="0" w:line="240" w:lineRule="auto"/>
              <w:jc w:val="both"/>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val="es-AR" w:eastAsia="es-MX"/>
              </w:rPr>
              <w:t>BAJA CALIFORNIA</w:t>
            </w:r>
          </w:p>
        </w:tc>
        <w:tc>
          <w:tcPr>
            <w:tcW w:w="1037" w:type="dxa"/>
            <w:tcBorders>
              <w:top w:val="single" w:sz="8" w:space="0" w:color="auto"/>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3.70%</w:t>
            </w:r>
          </w:p>
        </w:tc>
        <w:tc>
          <w:tcPr>
            <w:tcW w:w="720" w:type="dxa"/>
            <w:tcBorders>
              <w:top w:val="single" w:sz="8" w:space="0" w:color="auto"/>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3.70%</w:t>
            </w:r>
          </w:p>
        </w:tc>
        <w:tc>
          <w:tcPr>
            <w:tcW w:w="0" w:type="auto"/>
            <w:tcBorders>
              <w:top w:val="nil"/>
              <w:left w:val="nil"/>
              <w:bottom w:val="nil"/>
              <w:right w:val="nil"/>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3.70%</w:t>
            </w:r>
          </w:p>
        </w:tc>
        <w:tc>
          <w:tcPr>
            <w:tcW w:w="0" w:type="auto"/>
            <w:tcBorders>
              <w:top w:val="single" w:sz="4" w:space="0" w:color="auto"/>
              <w:left w:val="single" w:sz="8" w:space="0" w:color="auto"/>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3.70%</w:t>
            </w:r>
          </w:p>
        </w:tc>
        <w:tc>
          <w:tcPr>
            <w:tcW w:w="994" w:type="dxa"/>
            <w:tcBorders>
              <w:top w:val="single" w:sz="4" w:space="0" w:color="auto"/>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3.90%</w:t>
            </w:r>
          </w:p>
        </w:tc>
        <w:tc>
          <w:tcPr>
            <w:tcW w:w="688" w:type="dxa"/>
            <w:tcBorders>
              <w:top w:val="single" w:sz="4" w:space="0" w:color="auto"/>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3.90%</w:t>
            </w:r>
          </w:p>
        </w:tc>
        <w:tc>
          <w:tcPr>
            <w:tcW w:w="0" w:type="auto"/>
            <w:tcBorders>
              <w:top w:val="single" w:sz="8" w:space="0" w:color="auto"/>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3.90%</w:t>
            </w:r>
          </w:p>
        </w:tc>
        <w:tc>
          <w:tcPr>
            <w:tcW w:w="0" w:type="auto"/>
            <w:tcBorders>
              <w:top w:val="single" w:sz="8" w:space="0" w:color="auto"/>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3.90%</w:t>
            </w:r>
          </w:p>
        </w:tc>
      </w:tr>
      <w:tr w:rsidR="00F363DA" w:rsidRPr="00EC26B1" w:rsidTr="00EC26B1">
        <w:trPr>
          <w:trHeight w:val="20"/>
        </w:trPr>
        <w:tc>
          <w:tcPr>
            <w:tcW w:w="1970" w:type="dxa"/>
            <w:tcBorders>
              <w:top w:val="nil"/>
              <w:left w:val="single" w:sz="8" w:space="0" w:color="auto"/>
              <w:bottom w:val="single" w:sz="8" w:space="0" w:color="FFFFFF"/>
              <w:right w:val="single" w:sz="8" w:space="0" w:color="auto"/>
            </w:tcBorders>
            <w:shd w:val="clear" w:color="auto" w:fill="auto"/>
            <w:vAlign w:val="center"/>
            <w:hideMark/>
          </w:tcPr>
          <w:p w:rsidR="00F363DA" w:rsidRPr="00EC26B1" w:rsidRDefault="00F363DA" w:rsidP="00EC26B1">
            <w:pPr>
              <w:spacing w:after="0" w:line="240" w:lineRule="auto"/>
              <w:jc w:val="both"/>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val="es-AR" w:eastAsia="es-MX"/>
              </w:rPr>
              <w:t>BAJIO</w:t>
            </w:r>
          </w:p>
        </w:tc>
        <w:tc>
          <w:tcPr>
            <w:tcW w:w="1037"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3.60%</w:t>
            </w:r>
          </w:p>
        </w:tc>
        <w:tc>
          <w:tcPr>
            <w:tcW w:w="720"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3.60%</w:t>
            </w:r>
          </w:p>
        </w:tc>
        <w:tc>
          <w:tcPr>
            <w:tcW w:w="0" w:type="auto"/>
            <w:tcBorders>
              <w:top w:val="nil"/>
              <w:left w:val="nil"/>
              <w:bottom w:val="nil"/>
              <w:right w:val="nil"/>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3.60%</w:t>
            </w:r>
          </w:p>
        </w:tc>
        <w:tc>
          <w:tcPr>
            <w:tcW w:w="0" w:type="auto"/>
            <w:tcBorders>
              <w:top w:val="nil"/>
              <w:left w:val="single" w:sz="8" w:space="0" w:color="auto"/>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3.60%</w:t>
            </w:r>
          </w:p>
        </w:tc>
        <w:tc>
          <w:tcPr>
            <w:tcW w:w="994"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6.60%</w:t>
            </w:r>
          </w:p>
        </w:tc>
        <w:tc>
          <w:tcPr>
            <w:tcW w:w="688"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6.60%</w:t>
            </w:r>
          </w:p>
        </w:tc>
        <w:tc>
          <w:tcPr>
            <w:tcW w:w="0" w:type="auto"/>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5.00%</w:t>
            </w:r>
          </w:p>
        </w:tc>
        <w:tc>
          <w:tcPr>
            <w:tcW w:w="0" w:type="auto"/>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5.00%</w:t>
            </w:r>
          </w:p>
        </w:tc>
      </w:tr>
      <w:tr w:rsidR="00F363DA" w:rsidRPr="00EC26B1" w:rsidTr="00EC26B1">
        <w:trPr>
          <w:trHeight w:val="20"/>
        </w:trPr>
        <w:tc>
          <w:tcPr>
            <w:tcW w:w="1970" w:type="dxa"/>
            <w:tcBorders>
              <w:top w:val="nil"/>
              <w:left w:val="single" w:sz="8" w:space="0" w:color="auto"/>
              <w:bottom w:val="single" w:sz="8" w:space="0" w:color="FFFFFF"/>
              <w:right w:val="single" w:sz="8" w:space="0" w:color="auto"/>
            </w:tcBorders>
            <w:shd w:val="clear" w:color="auto" w:fill="auto"/>
            <w:vAlign w:val="center"/>
            <w:hideMark/>
          </w:tcPr>
          <w:p w:rsidR="00F363DA" w:rsidRPr="00EC26B1" w:rsidRDefault="00F363DA" w:rsidP="00EC26B1">
            <w:pPr>
              <w:spacing w:after="0" w:line="240" w:lineRule="auto"/>
              <w:jc w:val="both"/>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val="es-AR" w:eastAsia="es-MX"/>
              </w:rPr>
              <w:t>CENTRO OCCIDENTE</w:t>
            </w:r>
          </w:p>
        </w:tc>
        <w:tc>
          <w:tcPr>
            <w:tcW w:w="1037"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4.20%</w:t>
            </w:r>
          </w:p>
        </w:tc>
        <w:tc>
          <w:tcPr>
            <w:tcW w:w="720"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4.20%</w:t>
            </w:r>
          </w:p>
        </w:tc>
        <w:tc>
          <w:tcPr>
            <w:tcW w:w="0" w:type="auto"/>
            <w:tcBorders>
              <w:top w:val="nil"/>
              <w:left w:val="nil"/>
              <w:bottom w:val="nil"/>
              <w:right w:val="nil"/>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4.20%</w:t>
            </w:r>
          </w:p>
        </w:tc>
        <w:tc>
          <w:tcPr>
            <w:tcW w:w="0" w:type="auto"/>
            <w:tcBorders>
              <w:top w:val="nil"/>
              <w:left w:val="single" w:sz="8" w:space="0" w:color="auto"/>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4.20%</w:t>
            </w:r>
          </w:p>
        </w:tc>
        <w:tc>
          <w:tcPr>
            <w:tcW w:w="994"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6.80%</w:t>
            </w:r>
          </w:p>
        </w:tc>
        <w:tc>
          <w:tcPr>
            <w:tcW w:w="688"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6.80%</w:t>
            </w:r>
          </w:p>
        </w:tc>
        <w:tc>
          <w:tcPr>
            <w:tcW w:w="0" w:type="auto"/>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5.00%</w:t>
            </w:r>
          </w:p>
        </w:tc>
        <w:tc>
          <w:tcPr>
            <w:tcW w:w="0" w:type="auto"/>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5.00%</w:t>
            </w:r>
          </w:p>
        </w:tc>
      </w:tr>
      <w:tr w:rsidR="00F363DA" w:rsidRPr="00EC26B1" w:rsidTr="00EC26B1">
        <w:trPr>
          <w:trHeight w:val="20"/>
        </w:trPr>
        <w:tc>
          <w:tcPr>
            <w:tcW w:w="1970" w:type="dxa"/>
            <w:tcBorders>
              <w:top w:val="nil"/>
              <w:left w:val="single" w:sz="8" w:space="0" w:color="auto"/>
              <w:bottom w:val="single" w:sz="8" w:space="0" w:color="FFFFFF"/>
              <w:right w:val="single" w:sz="8" w:space="0" w:color="auto"/>
            </w:tcBorders>
            <w:shd w:val="clear" w:color="auto" w:fill="auto"/>
            <w:vAlign w:val="center"/>
            <w:hideMark/>
          </w:tcPr>
          <w:p w:rsidR="00F363DA" w:rsidRPr="00EC26B1" w:rsidRDefault="00F363DA" w:rsidP="00EC26B1">
            <w:pPr>
              <w:spacing w:after="0" w:line="240" w:lineRule="auto"/>
              <w:jc w:val="both"/>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val="es-AR" w:eastAsia="es-MX"/>
              </w:rPr>
              <w:t>CENTRO ORIENTE</w:t>
            </w:r>
          </w:p>
        </w:tc>
        <w:tc>
          <w:tcPr>
            <w:tcW w:w="1037"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2.90%</w:t>
            </w:r>
          </w:p>
        </w:tc>
        <w:tc>
          <w:tcPr>
            <w:tcW w:w="720"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2.90%</w:t>
            </w:r>
          </w:p>
        </w:tc>
        <w:tc>
          <w:tcPr>
            <w:tcW w:w="0" w:type="auto"/>
            <w:tcBorders>
              <w:top w:val="nil"/>
              <w:left w:val="nil"/>
              <w:bottom w:val="nil"/>
              <w:right w:val="nil"/>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2.90%</w:t>
            </w:r>
          </w:p>
        </w:tc>
        <w:tc>
          <w:tcPr>
            <w:tcW w:w="0" w:type="auto"/>
            <w:tcBorders>
              <w:top w:val="nil"/>
              <w:left w:val="single" w:sz="8" w:space="0" w:color="auto"/>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2.90%</w:t>
            </w:r>
          </w:p>
        </w:tc>
        <w:tc>
          <w:tcPr>
            <w:tcW w:w="994"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9.60%</w:t>
            </w:r>
          </w:p>
        </w:tc>
        <w:tc>
          <w:tcPr>
            <w:tcW w:w="688"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9.60%</w:t>
            </w:r>
          </w:p>
        </w:tc>
        <w:tc>
          <w:tcPr>
            <w:tcW w:w="0" w:type="auto"/>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7.10%</w:t>
            </w:r>
          </w:p>
        </w:tc>
        <w:tc>
          <w:tcPr>
            <w:tcW w:w="0" w:type="auto"/>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5.00%</w:t>
            </w:r>
          </w:p>
        </w:tc>
      </w:tr>
      <w:tr w:rsidR="00F363DA" w:rsidRPr="00EC26B1" w:rsidTr="00EC26B1">
        <w:trPr>
          <w:trHeight w:val="20"/>
        </w:trPr>
        <w:tc>
          <w:tcPr>
            <w:tcW w:w="1970" w:type="dxa"/>
            <w:tcBorders>
              <w:top w:val="nil"/>
              <w:left w:val="single" w:sz="8" w:space="0" w:color="auto"/>
              <w:bottom w:val="single" w:sz="8" w:space="0" w:color="FFFFFF"/>
              <w:right w:val="single" w:sz="8" w:space="0" w:color="auto"/>
            </w:tcBorders>
            <w:shd w:val="clear" w:color="auto" w:fill="auto"/>
            <w:vAlign w:val="center"/>
            <w:hideMark/>
          </w:tcPr>
          <w:p w:rsidR="00F363DA" w:rsidRPr="00EC26B1" w:rsidRDefault="00F363DA" w:rsidP="00EC26B1">
            <w:pPr>
              <w:spacing w:after="0" w:line="240" w:lineRule="auto"/>
              <w:jc w:val="both"/>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val="es-AR" w:eastAsia="es-MX"/>
              </w:rPr>
              <w:t>CENTRO SUR</w:t>
            </w:r>
          </w:p>
        </w:tc>
        <w:tc>
          <w:tcPr>
            <w:tcW w:w="1037"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3.80%</w:t>
            </w:r>
          </w:p>
        </w:tc>
        <w:tc>
          <w:tcPr>
            <w:tcW w:w="720"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3.80%</w:t>
            </w:r>
          </w:p>
        </w:tc>
        <w:tc>
          <w:tcPr>
            <w:tcW w:w="0" w:type="auto"/>
            <w:tcBorders>
              <w:top w:val="nil"/>
              <w:left w:val="nil"/>
              <w:bottom w:val="nil"/>
              <w:right w:val="nil"/>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3.80%</w:t>
            </w:r>
          </w:p>
        </w:tc>
        <w:tc>
          <w:tcPr>
            <w:tcW w:w="0" w:type="auto"/>
            <w:tcBorders>
              <w:top w:val="nil"/>
              <w:left w:val="single" w:sz="8" w:space="0" w:color="auto"/>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3.80%</w:t>
            </w:r>
          </w:p>
        </w:tc>
        <w:tc>
          <w:tcPr>
            <w:tcW w:w="994"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2.20%</w:t>
            </w:r>
          </w:p>
        </w:tc>
        <w:tc>
          <w:tcPr>
            <w:tcW w:w="688"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2.20%</w:t>
            </w:r>
          </w:p>
        </w:tc>
        <w:tc>
          <w:tcPr>
            <w:tcW w:w="0" w:type="auto"/>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2.20%</w:t>
            </w:r>
          </w:p>
        </w:tc>
        <w:tc>
          <w:tcPr>
            <w:tcW w:w="0" w:type="auto"/>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2.20%</w:t>
            </w:r>
          </w:p>
        </w:tc>
      </w:tr>
      <w:tr w:rsidR="00F363DA" w:rsidRPr="00EC26B1" w:rsidTr="00EC26B1">
        <w:trPr>
          <w:trHeight w:val="20"/>
        </w:trPr>
        <w:tc>
          <w:tcPr>
            <w:tcW w:w="1970" w:type="dxa"/>
            <w:tcBorders>
              <w:top w:val="nil"/>
              <w:left w:val="single" w:sz="8" w:space="0" w:color="auto"/>
              <w:bottom w:val="single" w:sz="8" w:space="0" w:color="FFFFFF"/>
              <w:right w:val="single" w:sz="8" w:space="0" w:color="auto"/>
            </w:tcBorders>
            <w:shd w:val="clear" w:color="auto" w:fill="auto"/>
            <w:vAlign w:val="center"/>
            <w:hideMark/>
          </w:tcPr>
          <w:p w:rsidR="00F363DA" w:rsidRPr="00EC26B1" w:rsidRDefault="00F363DA" w:rsidP="00EC26B1">
            <w:pPr>
              <w:spacing w:after="0" w:line="240" w:lineRule="auto"/>
              <w:jc w:val="both"/>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val="es-AR" w:eastAsia="es-MX"/>
              </w:rPr>
              <w:t>GOLFO NORTE</w:t>
            </w:r>
          </w:p>
        </w:tc>
        <w:tc>
          <w:tcPr>
            <w:tcW w:w="1037"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4.70%</w:t>
            </w:r>
          </w:p>
        </w:tc>
        <w:tc>
          <w:tcPr>
            <w:tcW w:w="720"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4.70%</w:t>
            </w:r>
          </w:p>
        </w:tc>
        <w:tc>
          <w:tcPr>
            <w:tcW w:w="0" w:type="auto"/>
            <w:tcBorders>
              <w:top w:val="nil"/>
              <w:left w:val="nil"/>
              <w:bottom w:val="nil"/>
              <w:right w:val="nil"/>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4.70%</w:t>
            </w:r>
          </w:p>
        </w:tc>
        <w:tc>
          <w:tcPr>
            <w:tcW w:w="0" w:type="auto"/>
            <w:tcBorders>
              <w:top w:val="nil"/>
              <w:left w:val="single" w:sz="8" w:space="0" w:color="auto"/>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4.70%</w:t>
            </w:r>
          </w:p>
        </w:tc>
        <w:tc>
          <w:tcPr>
            <w:tcW w:w="994"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14.40%</w:t>
            </w:r>
          </w:p>
        </w:tc>
        <w:tc>
          <w:tcPr>
            <w:tcW w:w="688"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14.40%</w:t>
            </w:r>
          </w:p>
        </w:tc>
        <w:tc>
          <w:tcPr>
            <w:tcW w:w="0" w:type="auto"/>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11.90%</w:t>
            </w:r>
          </w:p>
        </w:tc>
        <w:tc>
          <w:tcPr>
            <w:tcW w:w="0" w:type="auto"/>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9.40%</w:t>
            </w:r>
          </w:p>
        </w:tc>
      </w:tr>
      <w:tr w:rsidR="00F363DA" w:rsidRPr="00EC26B1" w:rsidTr="00EC26B1">
        <w:trPr>
          <w:trHeight w:val="20"/>
        </w:trPr>
        <w:tc>
          <w:tcPr>
            <w:tcW w:w="1970" w:type="dxa"/>
            <w:tcBorders>
              <w:top w:val="nil"/>
              <w:left w:val="single" w:sz="8" w:space="0" w:color="auto"/>
              <w:bottom w:val="single" w:sz="8" w:space="0" w:color="FFFFFF"/>
              <w:right w:val="single" w:sz="8" w:space="0" w:color="auto"/>
            </w:tcBorders>
            <w:shd w:val="clear" w:color="auto" w:fill="auto"/>
            <w:vAlign w:val="center"/>
            <w:hideMark/>
          </w:tcPr>
          <w:p w:rsidR="00F363DA" w:rsidRPr="00EC26B1" w:rsidRDefault="00F363DA" w:rsidP="00EC26B1">
            <w:pPr>
              <w:spacing w:after="0" w:line="240" w:lineRule="auto"/>
              <w:jc w:val="both"/>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val="es-AR" w:eastAsia="es-MX"/>
              </w:rPr>
              <w:t>JALISCO</w:t>
            </w:r>
          </w:p>
        </w:tc>
        <w:tc>
          <w:tcPr>
            <w:tcW w:w="1037"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6.40%</w:t>
            </w:r>
          </w:p>
        </w:tc>
        <w:tc>
          <w:tcPr>
            <w:tcW w:w="720"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5.80%</w:t>
            </w:r>
          </w:p>
        </w:tc>
        <w:tc>
          <w:tcPr>
            <w:tcW w:w="0" w:type="auto"/>
            <w:tcBorders>
              <w:top w:val="nil"/>
              <w:left w:val="nil"/>
              <w:bottom w:val="nil"/>
              <w:right w:val="nil"/>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5.40%</w:t>
            </w:r>
          </w:p>
        </w:tc>
        <w:tc>
          <w:tcPr>
            <w:tcW w:w="0" w:type="auto"/>
            <w:tcBorders>
              <w:top w:val="nil"/>
              <w:left w:val="single" w:sz="8" w:space="0" w:color="auto"/>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5.00%</w:t>
            </w:r>
          </w:p>
        </w:tc>
        <w:tc>
          <w:tcPr>
            <w:tcW w:w="994"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8.60%</w:t>
            </w:r>
          </w:p>
        </w:tc>
        <w:tc>
          <w:tcPr>
            <w:tcW w:w="688"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8.60%</w:t>
            </w:r>
          </w:p>
        </w:tc>
        <w:tc>
          <w:tcPr>
            <w:tcW w:w="0" w:type="auto"/>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6.10%</w:t>
            </w:r>
          </w:p>
        </w:tc>
        <w:tc>
          <w:tcPr>
            <w:tcW w:w="0" w:type="auto"/>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5.00%</w:t>
            </w:r>
          </w:p>
        </w:tc>
      </w:tr>
      <w:tr w:rsidR="00F363DA" w:rsidRPr="00EC26B1" w:rsidTr="00EC26B1">
        <w:trPr>
          <w:trHeight w:val="20"/>
        </w:trPr>
        <w:tc>
          <w:tcPr>
            <w:tcW w:w="1970" w:type="dxa"/>
            <w:tcBorders>
              <w:top w:val="nil"/>
              <w:left w:val="single" w:sz="8" w:space="0" w:color="auto"/>
              <w:bottom w:val="single" w:sz="8" w:space="0" w:color="FFFFFF"/>
              <w:right w:val="single" w:sz="8" w:space="0" w:color="auto"/>
            </w:tcBorders>
            <w:shd w:val="clear" w:color="auto" w:fill="auto"/>
            <w:vAlign w:val="center"/>
            <w:hideMark/>
          </w:tcPr>
          <w:p w:rsidR="00F363DA" w:rsidRPr="00EC26B1" w:rsidRDefault="00F363DA" w:rsidP="00EC26B1">
            <w:pPr>
              <w:spacing w:after="0" w:line="240" w:lineRule="auto"/>
              <w:jc w:val="both"/>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val="es-AR" w:eastAsia="es-MX"/>
              </w:rPr>
              <w:t>NOROESTE</w:t>
            </w:r>
          </w:p>
        </w:tc>
        <w:tc>
          <w:tcPr>
            <w:tcW w:w="1037"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9.10%</w:t>
            </w:r>
          </w:p>
        </w:tc>
        <w:tc>
          <w:tcPr>
            <w:tcW w:w="720"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8.40%</w:t>
            </w:r>
          </w:p>
        </w:tc>
        <w:tc>
          <w:tcPr>
            <w:tcW w:w="0" w:type="auto"/>
            <w:tcBorders>
              <w:top w:val="nil"/>
              <w:left w:val="nil"/>
              <w:bottom w:val="nil"/>
              <w:right w:val="nil"/>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7.70%</w:t>
            </w:r>
          </w:p>
        </w:tc>
        <w:tc>
          <w:tcPr>
            <w:tcW w:w="0" w:type="auto"/>
            <w:tcBorders>
              <w:top w:val="nil"/>
              <w:left w:val="single" w:sz="8" w:space="0" w:color="auto"/>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7.10%</w:t>
            </w:r>
          </w:p>
        </w:tc>
        <w:tc>
          <w:tcPr>
            <w:tcW w:w="994"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7.00%</w:t>
            </w:r>
          </w:p>
        </w:tc>
        <w:tc>
          <w:tcPr>
            <w:tcW w:w="688"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7.00%</w:t>
            </w:r>
          </w:p>
        </w:tc>
        <w:tc>
          <w:tcPr>
            <w:tcW w:w="0" w:type="auto"/>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5.00%</w:t>
            </w:r>
          </w:p>
        </w:tc>
        <w:tc>
          <w:tcPr>
            <w:tcW w:w="0" w:type="auto"/>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5.00%</w:t>
            </w:r>
          </w:p>
        </w:tc>
      </w:tr>
      <w:tr w:rsidR="00F363DA" w:rsidRPr="00EC26B1" w:rsidTr="00EC26B1">
        <w:trPr>
          <w:trHeight w:val="20"/>
        </w:trPr>
        <w:tc>
          <w:tcPr>
            <w:tcW w:w="1970" w:type="dxa"/>
            <w:tcBorders>
              <w:top w:val="nil"/>
              <w:left w:val="single" w:sz="8" w:space="0" w:color="auto"/>
              <w:bottom w:val="single" w:sz="8" w:space="0" w:color="FFFFFF"/>
              <w:right w:val="single" w:sz="8" w:space="0" w:color="auto"/>
            </w:tcBorders>
            <w:shd w:val="clear" w:color="auto" w:fill="auto"/>
            <w:vAlign w:val="center"/>
            <w:hideMark/>
          </w:tcPr>
          <w:p w:rsidR="00F363DA" w:rsidRPr="00EC26B1" w:rsidRDefault="00F363DA" w:rsidP="00EC26B1">
            <w:pPr>
              <w:spacing w:after="0" w:line="240" w:lineRule="auto"/>
              <w:jc w:val="both"/>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val="es-AR" w:eastAsia="es-MX"/>
              </w:rPr>
              <w:t>NORTE</w:t>
            </w:r>
          </w:p>
        </w:tc>
        <w:tc>
          <w:tcPr>
            <w:tcW w:w="1037"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6.00%</w:t>
            </w:r>
          </w:p>
        </w:tc>
        <w:tc>
          <w:tcPr>
            <w:tcW w:w="720"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5.50%</w:t>
            </w:r>
          </w:p>
        </w:tc>
        <w:tc>
          <w:tcPr>
            <w:tcW w:w="0" w:type="auto"/>
            <w:tcBorders>
              <w:top w:val="nil"/>
              <w:left w:val="nil"/>
              <w:bottom w:val="nil"/>
              <w:right w:val="nil"/>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5.10%</w:t>
            </w:r>
          </w:p>
        </w:tc>
        <w:tc>
          <w:tcPr>
            <w:tcW w:w="0" w:type="auto"/>
            <w:tcBorders>
              <w:top w:val="nil"/>
              <w:left w:val="single" w:sz="8" w:space="0" w:color="auto"/>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5.00%</w:t>
            </w:r>
          </w:p>
        </w:tc>
        <w:tc>
          <w:tcPr>
            <w:tcW w:w="994"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5.10%</w:t>
            </w:r>
          </w:p>
        </w:tc>
        <w:tc>
          <w:tcPr>
            <w:tcW w:w="688"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5.10%</w:t>
            </w:r>
          </w:p>
        </w:tc>
        <w:tc>
          <w:tcPr>
            <w:tcW w:w="0" w:type="auto"/>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5.00%</w:t>
            </w:r>
          </w:p>
        </w:tc>
        <w:tc>
          <w:tcPr>
            <w:tcW w:w="0" w:type="auto"/>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5.00%</w:t>
            </w:r>
          </w:p>
        </w:tc>
      </w:tr>
      <w:tr w:rsidR="00F363DA" w:rsidRPr="00EC26B1" w:rsidTr="00EC26B1">
        <w:trPr>
          <w:trHeight w:val="20"/>
        </w:trPr>
        <w:tc>
          <w:tcPr>
            <w:tcW w:w="1970" w:type="dxa"/>
            <w:tcBorders>
              <w:top w:val="nil"/>
              <w:left w:val="single" w:sz="8" w:space="0" w:color="auto"/>
              <w:bottom w:val="single" w:sz="8" w:space="0" w:color="FFFFFF"/>
              <w:right w:val="single" w:sz="8" w:space="0" w:color="auto"/>
            </w:tcBorders>
            <w:shd w:val="clear" w:color="auto" w:fill="auto"/>
            <w:vAlign w:val="center"/>
            <w:hideMark/>
          </w:tcPr>
          <w:p w:rsidR="00F363DA" w:rsidRPr="00EC26B1" w:rsidRDefault="00F363DA" w:rsidP="00EC26B1">
            <w:pPr>
              <w:spacing w:after="0" w:line="240" w:lineRule="auto"/>
              <w:jc w:val="both"/>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val="es-AR" w:eastAsia="es-MX"/>
              </w:rPr>
              <w:t>SURESTE</w:t>
            </w:r>
          </w:p>
        </w:tc>
        <w:tc>
          <w:tcPr>
            <w:tcW w:w="1037"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3.70%</w:t>
            </w:r>
          </w:p>
        </w:tc>
        <w:tc>
          <w:tcPr>
            <w:tcW w:w="720"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3.70%</w:t>
            </w:r>
          </w:p>
        </w:tc>
        <w:tc>
          <w:tcPr>
            <w:tcW w:w="0" w:type="auto"/>
            <w:tcBorders>
              <w:top w:val="nil"/>
              <w:left w:val="nil"/>
              <w:bottom w:val="nil"/>
              <w:right w:val="nil"/>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3.70%</w:t>
            </w:r>
          </w:p>
        </w:tc>
        <w:tc>
          <w:tcPr>
            <w:tcW w:w="0" w:type="auto"/>
            <w:tcBorders>
              <w:top w:val="nil"/>
              <w:left w:val="single" w:sz="8" w:space="0" w:color="auto"/>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3.70%</w:t>
            </w:r>
          </w:p>
        </w:tc>
        <w:tc>
          <w:tcPr>
            <w:tcW w:w="994"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3.40%</w:t>
            </w:r>
          </w:p>
        </w:tc>
        <w:tc>
          <w:tcPr>
            <w:tcW w:w="688"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3.40%</w:t>
            </w:r>
          </w:p>
        </w:tc>
        <w:tc>
          <w:tcPr>
            <w:tcW w:w="0" w:type="auto"/>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3.40%</w:t>
            </w:r>
          </w:p>
        </w:tc>
        <w:tc>
          <w:tcPr>
            <w:tcW w:w="0" w:type="auto"/>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3.40%</w:t>
            </w:r>
          </w:p>
        </w:tc>
      </w:tr>
      <w:tr w:rsidR="00F363DA" w:rsidRPr="00EC26B1" w:rsidTr="00EC26B1">
        <w:trPr>
          <w:trHeight w:val="20"/>
        </w:trPr>
        <w:tc>
          <w:tcPr>
            <w:tcW w:w="1970" w:type="dxa"/>
            <w:tcBorders>
              <w:top w:val="nil"/>
              <w:left w:val="single" w:sz="8" w:space="0" w:color="auto"/>
              <w:bottom w:val="single" w:sz="8" w:space="0" w:color="FFFFFF"/>
              <w:right w:val="single" w:sz="8" w:space="0" w:color="auto"/>
            </w:tcBorders>
            <w:shd w:val="clear" w:color="auto" w:fill="auto"/>
            <w:vAlign w:val="center"/>
            <w:hideMark/>
          </w:tcPr>
          <w:p w:rsidR="00F363DA" w:rsidRPr="00EC26B1" w:rsidRDefault="00F363DA" w:rsidP="00EC26B1">
            <w:pPr>
              <w:spacing w:after="0" w:line="240" w:lineRule="auto"/>
              <w:jc w:val="both"/>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val="es-AR" w:eastAsia="es-MX"/>
              </w:rPr>
              <w:t>PENINSULAR</w:t>
            </w:r>
          </w:p>
        </w:tc>
        <w:tc>
          <w:tcPr>
            <w:tcW w:w="1037"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3.80%</w:t>
            </w:r>
          </w:p>
        </w:tc>
        <w:tc>
          <w:tcPr>
            <w:tcW w:w="720"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3.80%</w:t>
            </w:r>
          </w:p>
        </w:tc>
        <w:tc>
          <w:tcPr>
            <w:tcW w:w="0" w:type="auto"/>
            <w:tcBorders>
              <w:top w:val="nil"/>
              <w:left w:val="nil"/>
              <w:bottom w:val="nil"/>
              <w:right w:val="nil"/>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3.80%</w:t>
            </w:r>
          </w:p>
        </w:tc>
        <w:tc>
          <w:tcPr>
            <w:tcW w:w="0" w:type="auto"/>
            <w:tcBorders>
              <w:top w:val="nil"/>
              <w:left w:val="single" w:sz="8" w:space="0" w:color="auto"/>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3.80%</w:t>
            </w:r>
          </w:p>
        </w:tc>
        <w:tc>
          <w:tcPr>
            <w:tcW w:w="994"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8.10%</w:t>
            </w:r>
          </w:p>
        </w:tc>
        <w:tc>
          <w:tcPr>
            <w:tcW w:w="688"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8.10%</w:t>
            </w:r>
          </w:p>
        </w:tc>
        <w:tc>
          <w:tcPr>
            <w:tcW w:w="0" w:type="auto"/>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5.60%</w:t>
            </w:r>
          </w:p>
        </w:tc>
        <w:tc>
          <w:tcPr>
            <w:tcW w:w="0" w:type="auto"/>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5.00%</w:t>
            </w:r>
          </w:p>
        </w:tc>
      </w:tr>
      <w:tr w:rsidR="00F363DA" w:rsidRPr="00EC26B1" w:rsidTr="00EC26B1">
        <w:trPr>
          <w:trHeight w:val="20"/>
        </w:trPr>
        <w:tc>
          <w:tcPr>
            <w:tcW w:w="1970" w:type="dxa"/>
            <w:tcBorders>
              <w:top w:val="nil"/>
              <w:left w:val="single" w:sz="8" w:space="0" w:color="auto"/>
              <w:bottom w:val="single" w:sz="8" w:space="0" w:color="FFFFFF"/>
              <w:right w:val="single" w:sz="8" w:space="0" w:color="auto"/>
            </w:tcBorders>
            <w:shd w:val="clear" w:color="auto" w:fill="auto"/>
            <w:vAlign w:val="center"/>
            <w:hideMark/>
          </w:tcPr>
          <w:p w:rsidR="00F363DA" w:rsidRPr="00EC26B1" w:rsidRDefault="00F363DA" w:rsidP="00EC26B1">
            <w:pPr>
              <w:spacing w:after="0" w:line="240" w:lineRule="auto"/>
              <w:jc w:val="both"/>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val="es-AR" w:eastAsia="es-MX"/>
              </w:rPr>
              <w:t>ORIENTE</w:t>
            </w:r>
          </w:p>
        </w:tc>
        <w:tc>
          <w:tcPr>
            <w:tcW w:w="1037"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4.70%</w:t>
            </w:r>
          </w:p>
        </w:tc>
        <w:tc>
          <w:tcPr>
            <w:tcW w:w="720"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4.70%</w:t>
            </w:r>
          </w:p>
        </w:tc>
        <w:tc>
          <w:tcPr>
            <w:tcW w:w="0" w:type="auto"/>
            <w:tcBorders>
              <w:top w:val="nil"/>
              <w:left w:val="nil"/>
              <w:bottom w:val="nil"/>
              <w:right w:val="nil"/>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4.70%</w:t>
            </w:r>
          </w:p>
        </w:tc>
        <w:tc>
          <w:tcPr>
            <w:tcW w:w="0" w:type="auto"/>
            <w:tcBorders>
              <w:top w:val="nil"/>
              <w:left w:val="single" w:sz="8" w:space="0" w:color="auto"/>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4.70%</w:t>
            </w:r>
          </w:p>
        </w:tc>
        <w:tc>
          <w:tcPr>
            <w:tcW w:w="994"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6.60%</w:t>
            </w:r>
          </w:p>
        </w:tc>
        <w:tc>
          <w:tcPr>
            <w:tcW w:w="688"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6.60%</w:t>
            </w:r>
          </w:p>
        </w:tc>
        <w:tc>
          <w:tcPr>
            <w:tcW w:w="0" w:type="auto"/>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5.00%</w:t>
            </w:r>
          </w:p>
        </w:tc>
        <w:tc>
          <w:tcPr>
            <w:tcW w:w="0" w:type="auto"/>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5.00%</w:t>
            </w:r>
          </w:p>
        </w:tc>
      </w:tr>
      <w:tr w:rsidR="00F363DA" w:rsidRPr="00EC26B1" w:rsidTr="00EC26B1">
        <w:trPr>
          <w:trHeight w:val="20"/>
        </w:trPr>
        <w:tc>
          <w:tcPr>
            <w:tcW w:w="1970" w:type="dxa"/>
            <w:tcBorders>
              <w:top w:val="nil"/>
              <w:left w:val="single" w:sz="8" w:space="0" w:color="auto"/>
              <w:bottom w:val="single" w:sz="8" w:space="0" w:color="FFFFFF"/>
              <w:right w:val="single" w:sz="8" w:space="0" w:color="auto"/>
            </w:tcBorders>
            <w:shd w:val="clear" w:color="auto" w:fill="auto"/>
            <w:vAlign w:val="center"/>
            <w:hideMark/>
          </w:tcPr>
          <w:p w:rsidR="00F363DA" w:rsidRPr="00EC26B1" w:rsidRDefault="00F363DA" w:rsidP="00EC26B1">
            <w:pPr>
              <w:spacing w:after="0" w:line="240" w:lineRule="auto"/>
              <w:jc w:val="both"/>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val="es-AR" w:eastAsia="es-MX"/>
              </w:rPr>
              <w:t>GOLFO CENTRO</w:t>
            </w:r>
          </w:p>
        </w:tc>
        <w:tc>
          <w:tcPr>
            <w:tcW w:w="1037"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5.40%</w:t>
            </w:r>
          </w:p>
        </w:tc>
        <w:tc>
          <w:tcPr>
            <w:tcW w:w="720"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5.00%</w:t>
            </w:r>
          </w:p>
        </w:tc>
        <w:tc>
          <w:tcPr>
            <w:tcW w:w="0" w:type="auto"/>
            <w:tcBorders>
              <w:top w:val="nil"/>
              <w:left w:val="nil"/>
              <w:bottom w:val="nil"/>
              <w:right w:val="nil"/>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5.00%</w:t>
            </w:r>
          </w:p>
        </w:tc>
        <w:tc>
          <w:tcPr>
            <w:tcW w:w="0" w:type="auto"/>
            <w:tcBorders>
              <w:top w:val="nil"/>
              <w:left w:val="single" w:sz="8" w:space="0" w:color="auto"/>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5.00%</w:t>
            </w:r>
          </w:p>
        </w:tc>
        <w:tc>
          <w:tcPr>
            <w:tcW w:w="994"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10.30%</w:t>
            </w:r>
          </w:p>
        </w:tc>
        <w:tc>
          <w:tcPr>
            <w:tcW w:w="688"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10.30%</w:t>
            </w:r>
          </w:p>
        </w:tc>
        <w:tc>
          <w:tcPr>
            <w:tcW w:w="0" w:type="auto"/>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7.80%</w:t>
            </w:r>
          </w:p>
        </w:tc>
        <w:tc>
          <w:tcPr>
            <w:tcW w:w="0" w:type="auto"/>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5.30%</w:t>
            </w:r>
          </w:p>
        </w:tc>
      </w:tr>
      <w:tr w:rsidR="00F363DA" w:rsidRPr="00EC26B1" w:rsidTr="00EC26B1">
        <w:trPr>
          <w:trHeight w:val="20"/>
        </w:trPr>
        <w:tc>
          <w:tcPr>
            <w:tcW w:w="1970" w:type="dxa"/>
            <w:tcBorders>
              <w:top w:val="nil"/>
              <w:left w:val="single" w:sz="8" w:space="0" w:color="auto"/>
              <w:bottom w:val="nil"/>
              <w:right w:val="single" w:sz="8" w:space="0" w:color="auto"/>
            </w:tcBorders>
            <w:shd w:val="clear" w:color="auto" w:fill="auto"/>
            <w:vAlign w:val="center"/>
            <w:hideMark/>
          </w:tcPr>
          <w:p w:rsidR="00F363DA" w:rsidRPr="00EC26B1" w:rsidRDefault="00F363DA" w:rsidP="00EC26B1">
            <w:pPr>
              <w:spacing w:after="0" w:line="240" w:lineRule="auto"/>
              <w:jc w:val="both"/>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val="es-AR" w:eastAsia="es-MX"/>
              </w:rPr>
              <w:t>VALLE MEXICO NTE</w:t>
            </w:r>
          </w:p>
        </w:tc>
        <w:tc>
          <w:tcPr>
            <w:tcW w:w="1037"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8.50%</w:t>
            </w:r>
          </w:p>
        </w:tc>
        <w:tc>
          <w:tcPr>
            <w:tcW w:w="720"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7.80%</w:t>
            </w:r>
          </w:p>
        </w:tc>
        <w:tc>
          <w:tcPr>
            <w:tcW w:w="0" w:type="auto"/>
            <w:tcBorders>
              <w:top w:val="nil"/>
              <w:left w:val="nil"/>
              <w:bottom w:val="nil"/>
              <w:right w:val="nil"/>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7.20%</w:t>
            </w:r>
          </w:p>
        </w:tc>
        <w:tc>
          <w:tcPr>
            <w:tcW w:w="0" w:type="auto"/>
            <w:tcBorders>
              <w:top w:val="nil"/>
              <w:left w:val="single" w:sz="8" w:space="0" w:color="auto"/>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6.60%</w:t>
            </w:r>
          </w:p>
        </w:tc>
        <w:tc>
          <w:tcPr>
            <w:tcW w:w="994"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15.80%</w:t>
            </w:r>
          </w:p>
        </w:tc>
        <w:tc>
          <w:tcPr>
            <w:tcW w:w="688"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15.80%</w:t>
            </w:r>
          </w:p>
        </w:tc>
        <w:tc>
          <w:tcPr>
            <w:tcW w:w="0" w:type="auto"/>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13.30%</w:t>
            </w:r>
          </w:p>
        </w:tc>
        <w:tc>
          <w:tcPr>
            <w:tcW w:w="0" w:type="auto"/>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10.80%</w:t>
            </w:r>
          </w:p>
        </w:tc>
      </w:tr>
      <w:tr w:rsidR="00F363DA" w:rsidRPr="00EC26B1" w:rsidTr="00EC26B1">
        <w:trPr>
          <w:trHeight w:val="20"/>
        </w:trPr>
        <w:tc>
          <w:tcPr>
            <w:tcW w:w="1970" w:type="dxa"/>
            <w:tcBorders>
              <w:top w:val="nil"/>
              <w:left w:val="single" w:sz="8" w:space="0" w:color="auto"/>
              <w:bottom w:val="nil"/>
              <w:right w:val="single" w:sz="8" w:space="0" w:color="auto"/>
            </w:tcBorders>
            <w:shd w:val="clear" w:color="auto" w:fill="auto"/>
            <w:vAlign w:val="center"/>
            <w:hideMark/>
          </w:tcPr>
          <w:p w:rsidR="00F363DA" w:rsidRPr="00EC26B1" w:rsidRDefault="00F363DA" w:rsidP="00EC26B1">
            <w:pPr>
              <w:spacing w:after="0" w:line="240" w:lineRule="auto"/>
              <w:jc w:val="both"/>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VALLE MEXICO CENT</w:t>
            </w:r>
          </w:p>
        </w:tc>
        <w:tc>
          <w:tcPr>
            <w:tcW w:w="1037"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6.70%</w:t>
            </w:r>
          </w:p>
        </w:tc>
        <w:tc>
          <w:tcPr>
            <w:tcW w:w="720"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6.20%</w:t>
            </w:r>
          </w:p>
        </w:tc>
        <w:tc>
          <w:tcPr>
            <w:tcW w:w="0" w:type="auto"/>
            <w:tcBorders>
              <w:top w:val="nil"/>
              <w:left w:val="nil"/>
              <w:bottom w:val="nil"/>
              <w:right w:val="nil"/>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5.70%</w:t>
            </w:r>
          </w:p>
        </w:tc>
        <w:tc>
          <w:tcPr>
            <w:tcW w:w="0" w:type="auto"/>
            <w:tcBorders>
              <w:top w:val="nil"/>
              <w:left w:val="single" w:sz="8" w:space="0" w:color="auto"/>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5.20%</w:t>
            </w:r>
          </w:p>
        </w:tc>
        <w:tc>
          <w:tcPr>
            <w:tcW w:w="994"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14.00%</w:t>
            </w:r>
          </w:p>
        </w:tc>
        <w:tc>
          <w:tcPr>
            <w:tcW w:w="688" w:type="dxa"/>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14.00%</w:t>
            </w:r>
          </w:p>
        </w:tc>
        <w:tc>
          <w:tcPr>
            <w:tcW w:w="0" w:type="auto"/>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11.50%</w:t>
            </w:r>
          </w:p>
        </w:tc>
        <w:tc>
          <w:tcPr>
            <w:tcW w:w="0" w:type="auto"/>
            <w:tcBorders>
              <w:top w:val="nil"/>
              <w:left w:val="nil"/>
              <w:bottom w:val="nil"/>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9.00%</w:t>
            </w:r>
          </w:p>
        </w:tc>
      </w:tr>
      <w:tr w:rsidR="00F363DA" w:rsidRPr="00EC26B1" w:rsidTr="00EC26B1">
        <w:trPr>
          <w:trHeight w:val="20"/>
        </w:trPr>
        <w:tc>
          <w:tcPr>
            <w:tcW w:w="1970" w:type="dxa"/>
            <w:tcBorders>
              <w:top w:val="nil"/>
              <w:left w:val="single" w:sz="8" w:space="0" w:color="auto"/>
              <w:bottom w:val="single" w:sz="8" w:space="0" w:color="auto"/>
              <w:right w:val="single" w:sz="8" w:space="0" w:color="auto"/>
            </w:tcBorders>
            <w:shd w:val="clear" w:color="auto" w:fill="auto"/>
            <w:vAlign w:val="center"/>
            <w:hideMark/>
          </w:tcPr>
          <w:p w:rsidR="00F363DA" w:rsidRPr="00EC26B1" w:rsidRDefault="00F363DA" w:rsidP="00EC26B1">
            <w:pPr>
              <w:spacing w:after="0" w:line="240" w:lineRule="auto"/>
              <w:jc w:val="both"/>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VALLE MEXICO SUR</w:t>
            </w:r>
          </w:p>
        </w:tc>
        <w:tc>
          <w:tcPr>
            <w:tcW w:w="1037" w:type="dxa"/>
            <w:tcBorders>
              <w:top w:val="nil"/>
              <w:left w:val="nil"/>
              <w:bottom w:val="single" w:sz="8" w:space="0" w:color="auto"/>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5.80%</w:t>
            </w:r>
          </w:p>
        </w:tc>
        <w:tc>
          <w:tcPr>
            <w:tcW w:w="720" w:type="dxa"/>
            <w:tcBorders>
              <w:top w:val="nil"/>
              <w:left w:val="nil"/>
              <w:bottom w:val="single" w:sz="8" w:space="0" w:color="auto"/>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5.40%</w:t>
            </w:r>
          </w:p>
        </w:tc>
        <w:tc>
          <w:tcPr>
            <w:tcW w:w="0" w:type="auto"/>
            <w:tcBorders>
              <w:top w:val="nil"/>
              <w:left w:val="nil"/>
              <w:bottom w:val="single" w:sz="8" w:space="0" w:color="auto"/>
              <w:right w:val="nil"/>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5.00%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5.00%</w:t>
            </w:r>
          </w:p>
        </w:tc>
        <w:tc>
          <w:tcPr>
            <w:tcW w:w="994" w:type="dxa"/>
            <w:tcBorders>
              <w:top w:val="nil"/>
              <w:left w:val="nil"/>
              <w:bottom w:val="single" w:sz="8" w:space="0" w:color="auto"/>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20.70%</w:t>
            </w:r>
          </w:p>
        </w:tc>
        <w:tc>
          <w:tcPr>
            <w:tcW w:w="688" w:type="dxa"/>
            <w:tcBorders>
              <w:top w:val="nil"/>
              <w:left w:val="nil"/>
              <w:bottom w:val="single" w:sz="8" w:space="0" w:color="auto"/>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20.70%</w:t>
            </w:r>
          </w:p>
        </w:tc>
        <w:tc>
          <w:tcPr>
            <w:tcW w:w="0" w:type="auto"/>
            <w:tcBorders>
              <w:top w:val="nil"/>
              <w:left w:val="nil"/>
              <w:bottom w:val="single" w:sz="8" w:space="0" w:color="auto"/>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18.20%</w:t>
            </w:r>
          </w:p>
        </w:tc>
        <w:tc>
          <w:tcPr>
            <w:tcW w:w="0" w:type="auto"/>
            <w:tcBorders>
              <w:top w:val="nil"/>
              <w:left w:val="nil"/>
              <w:bottom w:val="single" w:sz="8" w:space="0" w:color="auto"/>
              <w:right w:val="single" w:sz="8" w:space="0" w:color="auto"/>
            </w:tcBorders>
            <w:shd w:val="clear" w:color="auto" w:fill="auto"/>
            <w:vAlign w:val="center"/>
            <w:hideMark/>
          </w:tcPr>
          <w:p w:rsidR="00F363DA" w:rsidRPr="00EC26B1" w:rsidRDefault="00F363DA" w:rsidP="00E1024E">
            <w:pPr>
              <w:spacing w:after="0" w:line="240" w:lineRule="auto"/>
              <w:jc w:val="center"/>
              <w:rPr>
                <w:rFonts w:ascii="Arial Narrow" w:eastAsia="Times New Roman" w:hAnsi="Arial Narrow" w:cs="Times New Roman"/>
                <w:sz w:val="18"/>
                <w:szCs w:val="18"/>
                <w:lang w:eastAsia="es-MX"/>
              </w:rPr>
            </w:pPr>
            <w:r w:rsidRPr="00EC26B1">
              <w:rPr>
                <w:rFonts w:ascii="Arial Narrow" w:eastAsia="Times New Roman" w:hAnsi="Arial Narrow" w:cs="Times New Roman"/>
                <w:sz w:val="18"/>
                <w:szCs w:val="18"/>
                <w:lang w:eastAsia="es-MX"/>
              </w:rPr>
              <w:t>15.70%</w:t>
            </w:r>
          </w:p>
        </w:tc>
      </w:tr>
    </w:tbl>
    <w:p w:rsidR="00F363DA" w:rsidRPr="00814C47" w:rsidRDefault="00F363DA" w:rsidP="00814C47">
      <w:pPr>
        <w:overflowPunct w:val="0"/>
        <w:spacing w:line="240" w:lineRule="auto"/>
        <w:contextualSpacing/>
        <w:jc w:val="both"/>
        <w:textAlignment w:val="baseline"/>
        <w:rPr>
          <w:rFonts w:ascii="Arial Narrow" w:eastAsia="Microsoft YaHei" w:hAnsi="Arial Narrow"/>
          <w:color w:val="262626"/>
          <w:kern w:val="24"/>
          <w:lang w:val="es-AR" w:eastAsia="es-MX"/>
        </w:rPr>
      </w:pPr>
    </w:p>
    <w:p w:rsidR="00E1024E" w:rsidRDefault="00E1024E" w:rsidP="00814C47">
      <w:pPr>
        <w:spacing w:line="240" w:lineRule="auto"/>
        <w:jc w:val="both"/>
        <w:rPr>
          <w:rFonts w:ascii="Arial Narrow" w:eastAsia="Microsoft YaHei" w:hAnsi="Arial Narrow"/>
          <w:color w:val="262626"/>
          <w:kern w:val="24"/>
          <w:sz w:val="16"/>
          <w:szCs w:val="16"/>
          <w:lang w:val="es-AR" w:eastAsia="es-MX"/>
        </w:rPr>
      </w:pPr>
    </w:p>
    <w:p w:rsidR="00E1024E" w:rsidRDefault="00E1024E" w:rsidP="00814C47">
      <w:pPr>
        <w:spacing w:line="240" w:lineRule="auto"/>
        <w:jc w:val="both"/>
        <w:rPr>
          <w:rFonts w:ascii="Arial Narrow" w:eastAsia="Microsoft YaHei" w:hAnsi="Arial Narrow"/>
          <w:color w:val="262626"/>
          <w:kern w:val="24"/>
          <w:sz w:val="16"/>
          <w:szCs w:val="16"/>
          <w:lang w:val="es-AR" w:eastAsia="es-MX"/>
        </w:rPr>
      </w:pPr>
    </w:p>
    <w:p w:rsidR="00E1024E" w:rsidRDefault="00E1024E" w:rsidP="00814C47">
      <w:pPr>
        <w:spacing w:line="240" w:lineRule="auto"/>
        <w:jc w:val="both"/>
        <w:rPr>
          <w:rFonts w:ascii="Arial Narrow" w:eastAsia="Microsoft YaHei" w:hAnsi="Arial Narrow"/>
          <w:color w:val="262626"/>
          <w:kern w:val="24"/>
          <w:sz w:val="16"/>
          <w:szCs w:val="16"/>
          <w:lang w:val="es-AR" w:eastAsia="es-MX"/>
        </w:rPr>
      </w:pPr>
    </w:p>
    <w:p w:rsidR="00E1024E" w:rsidRDefault="00E1024E" w:rsidP="00814C47">
      <w:pPr>
        <w:spacing w:line="240" w:lineRule="auto"/>
        <w:jc w:val="both"/>
        <w:rPr>
          <w:rFonts w:ascii="Arial Narrow" w:eastAsia="Microsoft YaHei" w:hAnsi="Arial Narrow"/>
          <w:color w:val="262626"/>
          <w:kern w:val="24"/>
          <w:sz w:val="16"/>
          <w:szCs w:val="16"/>
          <w:lang w:val="es-AR" w:eastAsia="es-MX"/>
        </w:rPr>
      </w:pPr>
    </w:p>
    <w:p w:rsidR="00E1024E" w:rsidRDefault="00E1024E" w:rsidP="00814C47">
      <w:pPr>
        <w:spacing w:line="240" w:lineRule="auto"/>
        <w:jc w:val="both"/>
        <w:rPr>
          <w:rFonts w:ascii="Arial Narrow" w:eastAsia="Microsoft YaHei" w:hAnsi="Arial Narrow"/>
          <w:color w:val="262626"/>
          <w:kern w:val="24"/>
          <w:sz w:val="16"/>
          <w:szCs w:val="16"/>
          <w:lang w:val="es-AR" w:eastAsia="es-MX"/>
        </w:rPr>
      </w:pPr>
    </w:p>
    <w:p w:rsidR="00E1024E" w:rsidRDefault="00E1024E" w:rsidP="00814C47">
      <w:pPr>
        <w:spacing w:line="240" w:lineRule="auto"/>
        <w:jc w:val="both"/>
        <w:rPr>
          <w:rFonts w:ascii="Arial Narrow" w:eastAsia="Microsoft YaHei" w:hAnsi="Arial Narrow"/>
          <w:color w:val="262626"/>
          <w:kern w:val="24"/>
          <w:sz w:val="16"/>
          <w:szCs w:val="16"/>
          <w:lang w:val="es-AR" w:eastAsia="es-MX"/>
        </w:rPr>
      </w:pPr>
    </w:p>
    <w:p w:rsidR="00E1024E" w:rsidRDefault="00E1024E" w:rsidP="00814C47">
      <w:pPr>
        <w:spacing w:line="240" w:lineRule="auto"/>
        <w:jc w:val="both"/>
        <w:rPr>
          <w:rFonts w:ascii="Arial Narrow" w:eastAsia="Microsoft YaHei" w:hAnsi="Arial Narrow"/>
          <w:color w:val="262626"/>
          <w:kern w:val="24"/>
          <w:sz w:val="16"/>
          <w:szCs w:val="16"/>
          <w:lang w:val="es-AR" w:eastAsia="es-MX"/>
        </w:rPr>
      </w:pPr>
    </w:p>
    <w:p w:rsidR="00E1024E" w:rsidRDefault="00E1024E" w:rsidP="00814C47">
      <w:pPr>
        <w:spacing w:line="240" w:lineRule="auto"/>
        <w:jc w:val="both"/>
        <w:rPr>
          <w:rFonts w:ascii="Arial Narrow" w:eastAsia="Microsoft YaHei" w:hAnsi="Arial Narrow"/>
          <w:color w:val="262626"/>
          <w:kern w:val="24"/>
          <w:sz w:val="16"/>
          <w:szCs w:val="16"/>
          <w:lang w:val="es-AR" w:eastAsia="es-MX"/>
        </w:rPr>
      </w:pPr>
    </w:p>
    <w:p w:rsidR="00E1024E" w:rsidRDefault="00E1024E" w:rsidP="00814C47">
      <w:pPr>
        <w:spacing w:line="240" w:lineRule="auto"/>
        <w:jc w:val="both"/>
        <w:rPr>
          <w:rFonts w:ascii="Arial Narrow" w:eastAsia="Microsoft YaHei" w:hAnsi="Arial Narrow"/>
          <w:color w:val="262626"/>
          <w:kern w:val="24"/>
          <w:sz w:val="16"/>
          <w:szCs w:val="16"/>
          <w:lang w:val="es-AR" w:eastAsia="es-MX"/>
        </w:rPr>
      </w:pPr>
    </w:p>
    <w:p w:rsidR="00E1024E" w:rsidRDefault="00E1024E" w:rsidP="00814C47">
      <w:pPr>
        <w:spacing w:line="240" w:lineRule="auto"/>
        <w:jc w:val="both"/>
        <w:rPr>
          <w:rFonts w:ascii="Arial Narrow" w:eastAsia="Microsoft YaHei" w:hAnsi="Arial Narrow"/>
          <w:color w:val="262626"/>
          <w:kern w:val="24"/>
          <w:sz w:val="16"/>
          <w:szCs w:val="16"/>
          <w:lang w:val="es-AR" w:eastAsia="es-MX"/>
        </w:rPr>
      </w:pPr>
    </w:p>
    <w:p w:rsidR="00E1024E" w:rsidRDefault="00E1024E" w:rsidP="00814C47">
      <w:pPr>
        <w:spacing w:line="240" w:lineRule="auto"/>
        <w:jc w:val="both"/>
        <w:rPr>
          <w:rFonts w:ascii="Arial Narrow" w:eastAsia="Microsoft YaHei" w:hAnsi="Arial Narrow"/>
          <w:color w:val="262626"/>
          <w:kern w:val="24"/>
          <w:sz w:val="16"/>
          <w:szCs w:val="16"/>
          <w:lang w:val="es-AR" w:eastAsia="es-MX"/>
        </w:rPr>
      </w:pPr>
    </w:p>
    <w:p w:rsidR="00E1024E" w:rsidRDefault="00E1024E" w:rsidP="00814C47">
      <w:pPr>
        <w:spacing w:line="240" w:lineRule="auto"/>
        <w:jc w:val="both"/>
        <w:rPr>
          <w:rFonts w:ascii="Arial Narrow" w:eastAsia="Microsoft YaHei" w:hAnsi="Arial Narrow"/>
          <w:color w:val="262626"/>
          <w:kern w:val="24"/>
          <w:sz w:val="16"/>
          <w:szCs w:val="16"/>
          <w:lang w:val="es-AR" w:eastAsia="es-MX"/>
        </w:rPr>
      </w:pPr>
    </w:p>
    <w:p w:rsidR="00E1024E" w:rsidRDefault="00E1024E" w:rsidP="00814C47">
      <w:pPr>
        <w:spacing w:line="240" w:lineRule="auto"/>
        <w:jc w:val="both"/>
        <w:rPr>
          <w:rFonts w:ascii="Arial Narrow" w:eastAsia="Microsoft YaHei" w:hAnsi="Arial Narrow"/>
          <w:color w:val="262626"/>
          <w:kern w:val="24"/>
          <w:sz w:val="16"/>
          <w:szCs w:val="16"/>
          <w:lang w:val="es-AR" w:eastAsia="es-MX"/>
        </w:rPr>
      </w:pPr>
    </w:p>
    <w:p w:rsidR="00EC26B1" w:rsidRPr="0096062C" w:rsidRDefault="00E1024E" w:rsidP="00814C47">
      <w:pPr>
        <w:spacing w:line="240" w:lineRule="auto"/>
        <w:jc w:val="both"/>
        <w:rPr>
          <w:rFonts w:ascii="Arial Narrow" w:eastAsia="Microsoft YaHei" w:hAnsi="Arial Narrow"/>
          <w:color w:val="262626"/>
          <w:kern w:val="24"/>
          <w:sz w:val="16"/>
          <w:szCs w:val="16"/>
          <w:lang w:val="es-AR" w:eastAsia="es-MX"/>
        </w:rPr>
      </w:pPr>
      <w:r>
        <w:rPr>
          <w:rFonts w:ascii="Arial Narrow" w:eastAsia="Microsoft YaHei" w:hAnsi="Arial Narrow"/>
          <w:color w:val="262626"/>
          <w:kern w:val="24"/>
          <w:sz w:val="16"/>
          <w:szCs w:val="16"/>
          <w:lang w:val="es-AR" w:eastAsia="es-MX"/>
        </w:rPr>
        <w:t xml:space="preserve">     </w:t>
      </w:r>
      <w:r w:rsidR="0096062C" w:rsidRPr="00182D4E">
        <w:rPr>
          <w:rFonts w:ascii="Arial Narrow" w:eastAsia="Microsoft YaHei" w:hAnsi="Arial Narrow"/>
          <w:color w:val="262626"/>
          <w:kern w:val="24"/>
          <w:sz w:val="16"/>
          <w:szCs w:val="16"/>
          <w:lang w:val="es-AR" w:eastAsia="es-MX"/>
        </w:rPr>
        <w:t>Nota: Los porcentajes de pérdidas están referidos a la en</w:t>
      </w:r>
      <w:r w:rsidR="00182D4E" w:rsidRPr="00182D4E">
        <w:rPr>
          <w:rFonts w:ascii="Arial Narrow" w:eastAsia="Microsoft YaHei" w:hAnsi="Arial Narrow"/>
          <w:color w:val="262626"/>
          <w:kern w:val="24"/>
          <w:sz w:val="16"/>
          <w:szCs w:val="16"/>
          <w:lang w:val="es-AR" w:eastAsia="es-MX"/>
        </w:rPr>
        <w:t>ergía ingresada en el nivel de Alta Tensión (A</w:t>
      </w:r>
      <w:r w:rsidR="0096062C" w:rsidRPr="00182D4E">
        <w:rPr>
          <w:rFonts w:ascii="Arial Narrow" w:eastAsia="Microsoft YaHei" w:hAnsi="Arial Narrow"/>
          <w:color w:val="262626"/>
          <w:kern w:val="24"/>
          <w:sz w:val="16"/>
          <w:szCs w:val="16"/>
          <w:lang w:val="es-AR" w:eastAsia="es-MX"/>
        </w:rPr>
        <w:t>T</w:t>
      </w:r>
      <w:r w:rsidR="00182D4E" w:rsidRPr="00182D4E">
        <w:rPr>
          <w:rFonts w:ascii="Arial Narrow" w:eastAsia="Microsoft YaHei" w:hAnsi="Arial Narrow"/>
          <w:color w:val="262626"/>
          <w:kern w:val="24"/>
          <w:sz w:val="16"/>
          <w:szCs w:val="16"/>
          <w:lang w:val="es-AR" w:eastAsia="es-MX"/>
        </w:rPr>
        <w:t>)</w:t>
      </w:r>
      <w:r w:rsidR="0096062C" w:rsidRPr="00182D4E">
        <w:rPr>
          <w:rFonts w:ascii="Arial Narrow" w:eastAsia="Microsoft YaHei" w:hAnsi="Arial Narrow"/>
          <w:color w:val="262626"/>
          <w:kern w:val="24"/>
          <w:sz w:val="16"/>
          <w:szCs w:val="16"/>
          <w:lang w:val="es-AR" w:eastAsia="es-MX"/>
        </w:rPr>
        <w:t xml:space="preserve"> a diferencia del acuerdo  donde se refieren </w:t>
      </w:r>
      <w:r w:rsidR="00182D4E">
        <w:rPr>
          <w:rFonts w:ascii="Arial Narrow" w:eastAsia="Microsoft YaHei" w:hAnsi="Arial Narrow"/>
          <w:color w:val="262626"/>
          <w:kern w:val="24"/>
          <w:sz w:val="16"/>
          <w:szCs w:val="16"/>
          <w:lang w:val="es-AR" w:eastAsia="es-MX"/>
        </w:rPr>
        <w:t xml:space="preserve">         </w:t>
      </w:r>
      <w:r w:rsidR="0096062C" w:rsidRPr="00182D4E">
        <w:rPr>
          <w:rFonts w:ascii="Arial Narrow" w:eastAsia="Microsoft YaHei" w:hAnsi="Arial Narrow"/>
          <w:color w:val="262626"/>
          <w:kern w:val="24"/>
          <w:sz w:val="16"/>
          <w:szCs w:val="16"/>
          <w:lang w:val="es-AR" w:eastAsia="es-MX"/>
        </w:rPr>
        <w:t>a MT.</w:t>
      </w:r>
    </w:p>
    <w:p w:rsidR="00F363DA" w:rsidRPr="00814C47" w:rsidRDefault="00F363DA" w:rsidP="00814C47">
      <w:pPr>
        <w:spacing w:line="240" w:lineRule="auto"/>
        <w:jc w:val="both"/>
        <w:rPr>
          <w:rFonts w:ascii="Arial Narrow" w:eastAsia="Microsoft YaHei" w:hAnsi="Arial Narrow"/>
          <w:color w:val="262626"/>
          <w:kern w:val="24"/>
          <w:lang w:val="es-AR" w:eastAsia="es-MX"/>
        </w:rPr>
      </w:pPr>
      <w:r w:rsidRPr="00814C47">
        <w:rPr>
          <w:rFonts w:ascii="Arial Narrow" w:eastAsia="Microsoft YaHei" w:hAnsi="Arial Narrow"/>
          <w:color w:val="262626"/>
          <w:kern w:val="24"/>
          <w:lang w:val="es-AR" w:eastAsia="es-MX"/>
        </w:rPr>
        <w:t xml:space="preserve">A continuación se describen los criterios para determinar el valor máximo permitido para </w:t>
      </w:r>
      <w:r w:rsidR="008F66CD" w:rsidRPr="00814C47">
        <w:rPr>
          <w:rFonts w:ascii="Arial Narrow" w:eastAsia="Microsoft YaHei" w:hAnsi="Arial Narrow"/>
          <w:color w:val="262626"/>
          <w:kern w:val="24"/>
          <w:lang w:val="es-AR" w:eastAsia="es-MX"/>
        </w:rPr>
        <w:t>trasladar</w:t>
      </w:r>
      <w:r w:rsidRPr="00814C47">
        <w:rPr>
          <w:rFonts w:ascii="Arial Narrow" w:eastAsia="Microsoft YaHei" w:hAnsi="Arial Narrow"/>
          <w:color w:val="262626"/>
          <w:kern w:val="24"/>
          <w:lang w:val="es-AR" w:eastAsia="es-MX"/>
        </w:rPr>
        <w:t xml:space="preserve"> a los usuarios y el sendero de eficiencia tanto en pérdidas técnicas y no técnicas.</w:t>
      </w:r>
    </w:p>
    <w:p w:rsidR="00CF32B7" w:rsidRPr="00814C47" w:rsidRDefault="00B24898" w:rsidP="00B35D10">
      <w:pPr>
        <w:pStyle w:val="Prrafodelista"/>
        <w:keepNext/>
        <w:keepLines/>
        <w:numPr>
          <w:ilvl w:val="2"/>
          <w:numId w:val="15"/>
        </w:numPr>
        <w:spacing w:after="0" w:line="240" w:lineRule="auto"/>
        <w:ind w:left="720"/>
        <w:jc w:val="both"/>
        <w:outlineLvl w:val="0"/>
        <w:rPr>
          <w:rFonts w:ascii="Arial Narrow" w:eastAsiaTheme="majorEastAsia" w:hAnsi="Arial Narrow" w:cstheme="majorBidi"/>
          <w:b/>
          <w:bCs/>
          <w:color w:val="000000" w:themeColor="text1"/>
        </w:rPr>
      </w:pPr>
      <w:r>
        <w:rPr>
          <w:rFonts w:ascii="Arial Narrow" w:eastAsiaTheme="majorEastAsia" w:hAnsi="Arial Narrow" w:cstheme="majorBidi"/>
          <w:b/>
          <w:bCs/>
          <w:color w:val="000000" w:themeColor="text1"/>
        </w:rPr>
        <w:t>Eficiencia en pérdidas t</w:t>
      </w:r>
      <w:r w:rsidR="00CF32B7" w:rsidRPr="00814C47">
        <w:rPr>
          <w:rFonts w:ascii="Arial Narrow" w:eastAsiaTheme="majorEastAsia" w:hAnsi="Arial Narrow" w:cstheme="majorBidi"/>
          <w:b/>
          <w:bCs/>
          <w:color w:val="000000" w:themeColor="text1"/>
        </w:rPr>
        <w:t>écnica</w:t>
      </w:r>
      <w:r w:rsidR="00682CB3" w:rsidRPr="00814C47">
        <w:rPr>
          <w:rFonts w:ascii="Arial Narrow" w:eastAsiaTheme="majorEastAsia" w:hAnsi="Arial Narrow" w:cstheme="majorBidi"/>
          <w:b/>
          <w:bCs/>
          <w:color w:val="000000" w:themeColor="text1"/>
        </w:rPr>
        <w:t>s</w:t>
      </w:r>
    </w:p>
    <w:p w:rsidR="00D44489" w:rsidRDefault="00682CB3" w:rsidP="0096062C">
      <w:pPr>
        <w:spacing w:after="0" w:line="240" w:lineRule="auto"/>
        <w:jc w:val="both"/>
        <w:rPr>
          <w:rFonts w:ascii="Arial Narrow" w:hAnsi="Arial Narrow"/>
          <w:lang w:val="es-UY"/>
        </w:rPr>
      </w:pPr>
      <w:r w:rsidRPr="00814C47">
        <w:rPr>
          <w:rFonts w:ascii="Arial Narrow" w:hAnsi="Arial Narrow"/>
          <w:lang w:val="es-UY"/>
        </w:rPr>
        <w:t>En el caso de pérdidas técnicas, se consideró un valor máximo permitido para trasladar a las tarifas de los usuarios finales de 5% respecto a la energía r</w:t>
      </w:r>
      <w:r w:rsidR="00EC26B1">
        <w:rPr>
          <w:rFonts w:ascii="Arial Narrow" w:hAnsi="Arial Narrow"/>
          <w:lang w:val="es-UY"/>
        </w:rPr>
        <w:t>ecibida. Las divisiones de D</w:t>
      </w:r>
      <w:r w:rsidR="00B24898">
        <w:rPr>
          <w:rFonts w:ascii="Arial Narrow" w:hAnsi="Arial Narrow"/>
          <w:lang w:val="es-UY"/>
        </w:rPr>
        <w:t>istribución</w:t>
      </w:r>
      <w:r w:rsidRPr="00814C47">
        <w:rPr>
          <w:rFonts w:ascii="Arial Narrow" w:hAnsi="Arial Narrow"/>
          <w:lang w:val="es-UY"/>
        </w:rPr>
        <w:t xml:space="preserve"> que superaban dicho porcentaje se les reconocerá un sendero de reducción de pérdidas tal que cada año se re</w:t>
      </w:r>
      <w:r w:rsidR="005B7A63">
        <w:rPr>
          <w:rFonts w:ascii="Arial Narrow" w:hAnsi="Arial Narrow"/>
          <w:lang w:val="es-UY"/>
        </w:rPr>
        <w:t>duzca lo necesario para llegar a</w:t>
      </w:r>
      <w:r w:rsidRPr="00814C47">
        <w:rPr>
          <w:rFonts w:ascii="Arial Narrow" w:hAnsi="Arial Narrow"/>
          <w:lang w:val="es-UY"/>
        </w:rPr>
        <w:t>l valor máximo (siempre que el porcentaje del año anterior sea menor a 7.5% r</w:t>
      </w:r>
      <w:r w:rsidR="0096062C">
        <w:rPr>
          <w:rFonts w:ascii="Arial Narrow" w:hAnsi="Arial Narrow"/>
          <w:lang w:val="es-UY"/>
        </w:rPr>
        <w:t>especto a la energía recibida).</w:t>
      </w:r>
    </w:p>
    <w:p w:rsidR="0096062C" w:rsidRPr="0096062C" w:rsidRDefault="0096062C" w:rsidP="0096062C">
      <w:pPr>
        <w:spacing w:after="0" w:line="240" w:lineRule="auto"/>
        <w:jc w:val="both"/>
        <w:rPr>
          <w:rFonts w:ascii="Arial Narrow" w:hAnsi="Arial Narrow"/>
          <w:lang w:val="es-UY"/>
        </w:rPr>
      </w:pPr>
    </w:p>
    <w:p w:rsidR="0096062C" w:rsidRPr="0096062C" w:rsidRDefault="0096062C" w:rsidP="00182D4E">
      <w:pPr>
        <w:pStyle w:val="Descripcin"/>
        <w:spacing w:after="120"/>
        <w:jc w:val="center"/>
        <w:rPr>
          <w:sz w:val="20"/>
          <w:szCs w:val="20"/>
        </w:rPr>
      </w:pPr>
      <w:r w:rsidRPr="0096062C">
        <w:rPr>
          <w:sz w:val="20"/>
          <w:szCs w:val="20"/>
        </w:rPr>
        <w:t xml:space="preserve">Gráfica </w:t>
      </w:r>
      <w:r w:rsidRPr="0096062C">
        <w:rPr>
          <w:sz w:val="20"/>
          <w:szCs w:val="20"/>
        </w:rPr>
        <w:fldChar w:fldCharType="begin"/>
      </w:r>
      <w:r w:rsidRPr="0096062C">
        <w:rPr>
          <w:sz w:val="20"/>
          <w:szCs w:val="20"/>
        </w:rPr>
        <w:instrText xml:space="preserve"> SEQ Gráfica \* ARABIC </w:instrText>
      </w:r>
      <w:r w:rsidRPr="0096062C">
        <w:rPr>
          <w:sz w:val="20"/>
          <w:szCs w:val="20"/>
        </w:rPr>
        <w:fldChar w:fldCharType="separate"/>
      </w:r>
      <w:r w:rsidRPr="0096062C">
        <w:rPr>
          <w:noProof/>
          <w:sz w:val="20"/>
          <w:szCs w:val="20"/>
        </w:rPr>
        <w:t>2</w:t>
      </w:r>
      <w:r w:rsidRPr="0096062C">
        <w:rPr>
          <w:sz w:val="20"/>
          <w:szCs w:val="20"/>
        </w:rPr>
        <w:fldChar w:fldCharType="end"/>
      </w:r>
      <w:r w:rsidRPr="0096062C">
        <w:rPr>
          <w:sz w:val="20"/>
          <w:szCs w:val="20"/>
        </w:rPr>
        <w:t>. Sendero de eficiencia en pérdidas técnicas</w:t>
      </w:r>
    </w:p>
    <w:p w:rsidR="00CF32B7" w:rsidRDefault="00F363DA" w:rsidP="002D5035">
      <w:pPr>
        <w:spacing w:after="0" w:line="240" w:lineRule="auto"/>
        <w:jc w:val="center"/>
        <w:rPr>
          <w:rFonts w:ascii="Arial Narrow" w:hAnsi="Arial Narrow"/>
          <w:lang w:val="es-UY"/>
        </w:rPr>
      </w:pPr>
      <w:r w:rsidRPr="00814C47">
        <w:rPr>
          <w:rFonts w:ascii="Arial Narrow" w:hAnsi="Arial Narrow"/>
          <w:noProof/>
          <w:lang w:eastAsia="es-MX"/>
        </w:rPr>
        <w:drawing>
          <wp:inline distT="0" distB="0" distL="0" distR="0" wp14:anchorId="44E6E456" wp14:editId="68D2A1A3">
            <wp:extent cx="4945712" cy="2210463"/>
            <wp:effectExtent l="0" t="0" r="7620" b="18415"/>
            <wp:docPr id="41" name="Gráfico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D5035" w:rsidRPr="002D5035" w:rsidRDefault="002D5035" w:rsidP="002D5035">
      <w:pPr>
        <w:spacing w:after="0" w:line="240" w:lineRule="auto"/>
        <w:jc w:val="center"/>
        <w:rPr>
          <w:rFonts w:ascii="Arial Narrow" w:hAnsi="Arial Narrow"/>
          <w:lang w:val="es-UY"/>
        </w:rPr>
      </w:pPr>
    </w:p>
    <w:p w:rsidR="00CF32B7" w:rsidRPr="00B24898" w:rsidRDefault="00B24898" w:rsidP="00B35D10">
      <w:pPr>
        <w:pStyle w:val="Prrafodelista"/>
        <w:keepNext/>
        <w:keepLines/>
        <w:numPr>
          <w:ilvl w:val="2"/>
          <w:numId w:val="15"/>
        </w:numPr>
        <w:spacing w:after="0" w:line="240" w:lineRule="auto"/>
        <w:ind w:left="720"/>
        <w:jc w:val="both"/>
        <w:outlineLvl w:val="0"/>
        <w:rPr>
          <w:rFonts w:ascii="Arial Narrow" w:eastAsiaTheme="majorEastAsia" w:hAnsi="Arial Narrow" w:cstheme="majorBidi"/>
          <w:b/>
          <w:bCs/>
          <w:color w:val="000000" w:themeColor="text1"/>
        </w:rPr>
      </w:pPr>
      <w:r>
        <w:rPr>
          <w:rFonts w:ascii="Arial Narrow" w:eastAsiaTheme="majorEastAsia" w:hAnsi="Arial Narrow" w:cstheme="majorBidi"/>
          <w:b/>
          <w:bCs/>
          <w:color w:val="000000" w:themeColor="text1"/>
        </w:rPr>
        <w:t>Eficiencia en pérdidas no t</w:t>
      </w:r>
      <w:r w:rsidR="00CF32B7" w:rsidRPr="00814C47">
        <w:rPr>
          <w:rFonts w:ascii="Arial Narrow" w:eastAsiaTheme="majorEastAsia" w:hAnsi="Arial Narrow" w:cstheme="majorBidi"/>
          <w:b/>
          <w:bCs/>
          <w:color w:val="000000" w:themeColor="text1"/>
        </w:rPr>
        <w:t xml:space="preserve">écnicas </w:t>
      </w:r>
    </w:p>
    <w:p w:rsidR="00D44489" w:rsidRDefault="00D44489" w:rsidP="00814C47">
      <w:pPr>
        <w:spacing w:after="0" w:line="240" w:lineRule="auto"/>
        <w:jc w:val="both"/>
        <w:rPr>
          <w:rFonts w:ascii="Arial Narrow" w:hAnsi="Arial Narrow"/>
          <w:lang w:val="es-UY"/>
        </w:rPr>
      </w:pPr>
      <w:r w:rsidRPr="00814C47">
        <w:rPr>
          <w:rFonts w:ascii="Arial Narrow" w:hAnsi="Arial Narrow"/>
          <w:lang w:val="es-UY"/>
        </w:rPr>
        <w:t xml:space="preserve">Se consideró un valor máximo permitido para trasladar a las tarifas de los usuarios finales de 5% </w:t>
      </w:r>
      <w:r w:rsidR="00F363DA" w:rsidRPr="00814C47">
        <w:rPr>
          <w:rFonts w:ascii="Arial Narrow" w:hAnsi="Arial Narrow"/>
          <w:lang w:val="es-UY"/>
        </w:rPr>
        <w:t>respecto a la energía recibida. L</w:t>
      </w:r>
      <w:r w:rsidR="00EC26B1">
        <w:rPr>
          <w:rFonts w:ascii="Arial Narrow" w:hAnsi="Arial Narrow"/>
          <w:lang w:val="es-UY"/>
        </w:rPr>
        <w:t>as divisiones de D</w:t>
      </w:r>
      <w:r w:rsidR="002D5035">
        <w:rPr>
          <w:rFonts w:ascii="Arial Narrow" w:hAnsi="Arial Narrow"/>
          <w:lang w:val="es-UY"/>
        </w:rPr>
        <w:t>istribución</w:t>
      </w:r>
      <w:r w:rsidRPr="00814C47">
        <w:rPr>
          <w:rFonts w:ascii="Arial Narrow" w:hAnsi="Arial Narrow"/>
          <w:lang w:val="es-UY"/>
        </w:rPr>
        <w:t xml:space="preserve"> que superaban dicho porcentaje se les reconocerá un sendero </w:t>
      </w:r>
      <w:r w:rsidRPr="00814C47">
        <w:rPr>
          <w:rFonts w:ascii="Arial Narrow" w:hAnsi="Arial Narrow"/>
          <w:lang w:val="es-UY"/>
        </w:rPr>
        <w:lastRenderedPageBreak/>
        <w:t>de reducción de pérdidas tal que cada año se reduzca un 8% respecto al valor del año anterior, o lo necesario para ll</w:t>
      </w:r>
      <w:r w:rsidR="005B7A63">
        <w:rPr>
          <w:rFonts w:ascii="Arial Narrow" w:hAnsi="Arial Narrow"/>
          <w:lang w:val="es-UY"/>
        </w:rPr>
        <w:t>egar a</w:t>
      </w:r>
      <w:r w:rsidRPr="00814C47">
        <w:rPr>
          <w:rFonts w:ascii="Arial Narrow" w:hAnsi="Arial Narrow"/>
          <w:lang w:val="es-UY"/>
        </w:rPr>
        <w:t>l valor máximo (siempre que el porcentaje del año anterior sea menor a 5.4% respecto a la energía recibida).</w:t>
      </w:r>
    </w:p>
    <w:p w:rsidR="0096062C" w:rsidRDefault="0096062C" w:rsidP="00814C47">
      <w:pPr>
        <w:spacing w:after="0" w:line="240" w:lineRule="auto"/>
        <w:jc w:val="both"/>
        <w:rPr>
          <w:rFonts w:ascii="Arial Narrow" w:hAnsi="Arial Narrow"/>
          <w:lang w:val="es-UY"/>
        </w:rPr>
      </w:pPr>
    </w:p>
    <w:p w:rsidR="00F363DA" w:rsidRPr="0096062C" w:rsidRDefault="0096062C" w:rsidP="00182D4E">
      <w:pPr>
        <w:pStyle w:val="Descripcin"/>
        <w:spacing w:after="120"/>
        <w:jc w:val="center"/>
        <w:rPr>
          <w:sz w:val="20"/>
          <w:szCs w:val="20"/>
        </w:rPr>
      </w:pPr>
      <w:r w:rsidRPr="0096062C">
        <w:rPr>
          <w:sz w:val="20"/>
          <w:szCs w:val="20"/>
        </w:rPr>
        <w:t xml:space="preserve">Gráfica </w:t>
      </w:r>
      <w:r w:rsidRPr="0096062C">
        <w:rPr>
          <w:sz w:val="20"/>
          <w:szCs w:val="20"/>
        </w:rPr>
        <w:fldChar w:fldCharType="begin"/>
      </w:r>
      <w:r w:rsidRPr="0096062C">
        <w:rPr>
          <w:sz w:val="20"/>
          <w:szCs w:val="20"/>
        </w:rPr>
        <w:instrText xml:space="preserve"> SEQ Gráfica \* ARABIC </w:instrText>
      </w:r>
      <w:r w:rsidRPr="0096062C">
        <w:rPr>
          <w:sz w:val="20"/>
          <w:szCs w:val="20"/>
        </w:rPr>
        <w:fldChar w:fldCharType="separate"/>
      </w:r>
      <w:r>
        <w:rPr>
          <w:noProof/>
          <w:sz w:val="20"/>
          <w:szCs w:val="20"/>
        </w:rPr>
        <w:t>3</w:t>
      </w:r>
      <w:r w:rsidRPr="0096062C">
        <w:rPr>
          <w:sz w:val="20"/>
          <w:szCs w:val="20"/>
        </w:rPr>
        <w:fldChar w:fldCharType="end"/>
      </w:r>
      <w:r w:rsidRPr="0096062C">
        <w:rPr>
          <w:sz w:val="20"/>
          <w:szCs w:val="20"/>
        </w:rPr>
        <w:t>. Sendero de eficiencia en pérdidas técnicas</w:t>
      </w:r>
    </w:p>
    <w:p w:rsidR="00B24898" w:rsidRDefault="00EC26B1" w:rsidP="00EC26B1">
      <w:pPr>
        <w:spacing w:after="0" w:line="240" w:lineRule="auto"/>
        <w:jc w:val="center"/>
        <w:rPr>
          <w:rFonts w:ascii="Arial Narrow" w:hAnsi="Arial Narrow"/>
          <w:lang w:val="es-UY"/>
        </w:rPr>
      </w:pPr>
      <w:r w:rsidRPr="00814C47">
        <w:rPr>
          <w:rFonts w:ascii="Arial Narrow" w:hAnsi="Arial Narrow"/>
          <w:noProof/>
          <w:lang w:eastAsia="es-MX"/>
        </w:rPr>
        <w:drawing>
          <wp:inline distT="0" distB="0" distL="0" distR="0" wp14:anchorId="738FE7B8" wp14:editId="72B96132">
            <wp:extent cx="4666891" cy="2268747"/>
            <wp:effectExtent l="0" t="0" r="635" b="17780"/>
            <wp:docPr id="40" name="Gráfico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363DA" w:rsidRPr="00814C47" w:rsidRDefault="00F363DA" w:rsidP="00814C47">
      <w:pPr>
        <w:overflowPunct w:val="0"/>
        <w:spacing w:line="240" w:lineRule="auto"/>
        <w:contextualSpacing/>
        <w:jc w:val="both"/>
        <w:textAlignment w:val="baseline"/>
        <w:rPr>
          <w:rFonts w:ascii="Arial Narrow" w:eastAsia="Microsoft YaHei" w:hAnsi="Arial Narrow"/>
          <w:color w:val="262626"/>
          <w:kern w:val="24"/>
          <w:lang w:val="es-AR" w:eastAsia="es-MX"/>
        </w:rPr>
      </w:pPr>
    </w:p>
    <w:p w:rsidR="00307170" w:rsidRPr="00814C47" w:rsidRDefault="00F363DA" w:rsidP="00814C47">
      <w:pPr>
        <w:overflowPunct w:val="0"/>
        <w:spacing w:line="240" w:lineRule="auto"/>
        <w:contextualSpacing/>
        <w:jc w:val="both"/>
        <w:textAlignment w:val="baseline"/>
        <w:rPr>
          <w:rFonts w:ascii="Arial Narrow" w:eastAsia="Microsoft YaHei" w:hAnsi="Arial Narrow"/>
          <w:color w:val="262626"/>
          <w:kern w:val="24"/>
          <w:lang w:val="es-AR" w:eastAsia="es-MX"/>
        </w:rPr>
      </w:pPr>
      <w:r w:rsidRPr="00814C47">
        <w:rPr>
          <w:rFonts w:ascii="Arial Narrow" w:eastAsia="Microsoft YaHei" w:hAnsi="Arial Narrow"/>
          <w:color w:val="262626"/>
          <w:kern w:val="24"/>
          <w:lang w:val="es-AR" w:eastAsia="es-MX"/>
        </w:rPr>
        <w:t>Es importante re</w:t>
      </w:r>
      <w:r w:rsidR="003C667D">
        <w:rPr>
          <w:rFonts w:ascii="Arial Narrow" w:eastAsia="Microsoft YaHei" w:hAnsi="Arial Narrow"/>
          <w:color w:val="262626"/>
          <w:kern w:val="24"/>
          <w:lang w:val="es-AR" w:eastAsia="es-MX"/>
        </w:rPr>
        <w:t xml:space="preserve">cordar que </w:t>
      </w:r>
      <w:r w:rsidR="00522ACC" w:rsidRPr="00814C47">
        <w:rPr>
          <w:rFonts w:ascii="Arial Narrow" w:eastAsia="Microsoft YaHei" w:hAnsi="Arial Narrow"/>
          <w:color w:val="262626"/>
          <w:kern w:val="24"/>
          <w:lang w:val="es-AR" w:eastAsia="es-MX"/>
        </w:rPr>
        <w:t>los porcentajes de pérdidas de energía aprobados para estos años son los utilizados para calcular los factores de pérdidas técnicas y no técnicas y con ello el factor de pérdidas ac</w:t>
      </w:r>
      <w:r w:rsidR="003C667D">
        <w:rPr>
          <w:rFonts w:ascii="Arial Narrow" w:eastAsia="Microsoft YaHei" w:hAnsi="Arial Narrow"/>
          <w:color w:val="262626"/>
          <w:kern w:val="24"/>
          <w:lang w:val="es-AR" w:eastAsia="es-MX"/>
        </w:rPr>
        <w:t>umulado descrito anteriormente.</w:t>
      </w:r>
    </w:p>
    <w:p w:rsidR="008951DA" w:rsidRPr="00814C47" w:rsidRDefault="00EC26B1" w:rsidP="00EC26B1">
      <w:pPr>
        <w:pStyle w:val="Prrafodelista"/>
        <w:keepNext/>
        <w:keepLines/>
        <w:numPr>
          <w:ilvl w:val="0"/>
          <w:numId w:val="15"/>
        </w:numPr>
        <w:spacing w:after="200" w:line="240" w:lineRule="auto"/>
        <w:jc w:val="both"/>
        <w:outlineLvl w:val="0"/>
        <w:rPr>
          <w:rFonts w:ascii="Arial Narrow" w:eastAsiaTheme="majorEastAsia" w:hAnsi="Arial Narrow" w:cstheme="majorBidi"/>
          <w:b/>
          <w:bCs/>
          <w:color w:val="000000" w:themeColor="text1"/>
        </w:rPr>
      </w:pPr>
      <w:r>
        <w:rPr>
          <w:rFonts w:ascii="Arial Narrow" w:eastAsiaTheme="majorEastAsia" w:hAnsi="Arial Narrow" w:cstheme="majorBidi"/>
          <w:b/>
          <w:bCs/>
          <w:color w:val="000000" w:themeColor="text1"/>
        </w:rPr>
        <w:t>Actualización de las Tarifas</w:t>
      </w:r>
    </w:p>
    <w:p w:rsidR="009B247E" w:rsidRPr="00814C47" w:rsidRDefault="009B247E" w:rsidP="00814C47">
      <w:pPr>
        <w:spacing w:line="240" w:lineRule="auto"/>
        <w:jc w:val="both"/>
        <w:rPr>
          <w:rFonts w:ascii="Arial Narrow" w:hAnsi="Arial Narrow"/>
          <w:lang w:val="es-UY"/>
        </w:rPr>
      </w:pPr>
      <w:r w:rsidRPr="00814C47">
        <w:rPr>
          <w:rFonts w:ascii="Arial Narrow" w:hAnsi="Arial Narrow" w:cs="Arial"/>
        </w:rPr>
        <w:t>Como pudimos observar</w:t>
      </w:r>
      <w:r w:rsidR="003C667D">
        <w:rPr>
          <w:rFonts w:ascii="Arial Narrow" w:hAnsi="Arial Narrow" w:cs="Arial"/>
        </w:rPr>
        <w:t xml:space="preserve">, el análisis de eficiencia en </w:t>
      </w:r>
      <w:r w:rsidRPr="00814C47">
        <w:rPr>
          <w:rFonts w:ascii="Arial Narrow" w:hAnsi="Arial Narrow" w:cs="Arial"/>
        </w:rPr>
        <w:t>pérdidas de energía se incorpora en el modelo tarifario al introd</w:t>
      </w:r>
      <w:r w:rsidR="003C667D">
        <w:rPr>
          <w:rFonts w:ascii="Arial Narrow" w:hAnsi="Arial Narrow" w:cs="Arial"/>
        </w:rPr>
        <w:t xml:space="preserve">ucir los porcentajes aprobados </w:t>
      </w:r>
      <w:r w:rsidRPr="00814C47">
        <w:rPr>
          <w:rFonts w:ascii="Arial Narrow" w:hAnsi="Arial Narrow" w:cs="Arial"/>
        </w:rPr>
        <w:t xml:space="preserve">de pérdidas en los factores de pérdidas y a partir de ellos calcular la energía ingresada y las pérdidas de energía en el sistema de distribución. </w:t>
      </w:r>
      <w:r w:rsidR="003C667D">
        <w:rPr>
          <w:rFonts w:ascii="Arial Narrow" w:hAnsi="Arial Narrow"/>
          <w:lang w:val="es-UY"/>
        </w:rPr>
        <w:t xml:space="preserve">A </w:t>
      </w:r>
      <w:r w:rsidRPr="00814C47">
        <w:rPr>
          <w:rFonts w:ascii="Arial Narrow" w:hAnsi="Arial Narrow"/>
          <w:lang w:val="es-UY"/>
        </w:rPr>
        <w:t>efectos de incorporar el análisis de eficiencia en costos de explotación presentado en el apartado</w:t>
      </w:r>
      <w:r w:rsidR="0096062C">
        <w:rPr>
          <w:rFonts w:ascii="Arial Narrow" w:hAnsi="Arial Narrow"/>
          <w:lang w:val="es-UY"/>
        </w:rPr>
        <w:t xml:space="preserve"> 4.1</w:t>
      </w:r>
      <w:r w:rsidR="003C667D" w:rsidRPr="0096062C">
        <w:rPr>
          <w:rFonts w:ascii="Arial Narrow" w:hAnsi="Arial Narrow"/>
          <w:lang w:val="es-UY"/>
        </w:rPr>
        <w:t>,</w:t>
      </w:r>
      <w:r w:rsidR="003C667D">
        <w:rPr>
          <w:rFonts w:ascii="Arial Narrow" w:hAnsi="Arial Narrow"/>
          <w:lang w:val="es-UY"/>
        </w:rPr>
        <w:t xml:space="preserve"> se definió un Factor de e</w:t>
      </w:r>
      <w:r w:rsidRPr="00814C47">
        <w:rPr>
          <w:rFonts w:ascii="Arial Narrow" w:hAnsi="Arial Narrow"/>
          <w:lang w:val="es-UY"/>
        </w:rPr>
        <w:t>ficiencia en Costos, que se define como un porcentaje de reducción anual aplicado a las tarifas de Distribución y que aplicará para actualizar la tarifa en 2017 y 2018.</w:t>
      </w:r>
    </w:p>
    <w:p w:rsidR="00443395" w:rsidRPr="00814C47" w:rsidRDefault="003C667D" w:rsidP="00814C47">
      <w:pPr>
        <w:spacing w:line="240" w:lineRule="auto"/>
        <w:jc w:val="both"/>
        <w:rPr>
          <w:rFonts w:ascii="Arial Narrow" w:hAnsi="Arial Narrow"/>
          <w:lang w:val="es-UY"/>
        </w:rPr>
      </w:pPr>
      <w:r>
        <w:rPr>
          <w:rFonts w:ascii="Arial Narrow" w:hAnsi="Arial Narrow"/>
          <w:lang w:val="es-UY"/>
        </w:rPr>
        <w:t>Adicionalmente,</w:t>
      </w:r>
      <w:r w:rsidR="009B247E" w:rsidRPr="00814C47">
        <w:rPr>
          <w:rFonts w:ascii="Arial Narrow" w:hAnsi="Arial Narrow"/>
          <w:lang w:val="es-UY"/>
        </w:rPr>
        <w:t xml:space="preserve"> la actualización de tar</w:t>
      </w:r>
      <w:r>
        <w:rPr>
          <w:rFonts w:ascii="Arial Narrow" w:hAnsi="Arial Narrow"/>
          <w:lang w:val="es-UY"/>
        </w:rPr>
        <w:t>ifas dependerá de un Factor de economías de e</w:t>
      </w:r>
      <w:r w:rsidR="009B247E" w:rsidRPr="00814C47">
        <w:rPr>
          <w:rFonts w:ascii="Arial Narrow" w:hAnsi="Arial Narrow"/>
          <w:lang w:val="es-UY"/>
        </w:rPr>
        <w:t>scala para representar el traslado de las ganancias por economías de escala, características de la actividad de Distribución de energía eléctrica, a los usuarios finales a través de las tarifas. Este Factor se definió como un 1% de reducción anual para todas las zonas de distribución.</w:t>
      </w:r>
    </w:p>
    <w:p w:rsidR="009B247E" w:rsidRPr="00814C47" w:rsidRDefault="00443395" w:rsidP="00814C47">
      <w:pPr>
        <w:spacing w:line="240" w:lineRule="auto"/>
        <w:jc w:val="both"/>
        <w:rPr>
          <w:rFonts w:ascii="Arial Narrow" w:hAnsi="Arial Narrow"/>
          <w:lang w:val="es-UY"/>
        </w:rPr>
      </w:pPr>
      <w:r w:rsidRPr="00814C47">
        <w:rPr>
          <w:rFonts w:ascii="Arial Narrow" w:hAnsi="Arial Narrow" w:cs="Arial"/>
        </w:rPr>
        <w:t xml:space="preserve">Tomando en consideración que el modelo de asignación de costos </w:t>
      </w:r>
      <w:r w:rsidRPr="00814C47">
        <w:rPr>
          <w:rFonts w:ascii="Arial Narrow" w:hAnsi="Arial Narrow" w:cs="Arial"/>
          <w:lang w:val="es-ES"/>
        </w:rPr>
        <w:t>tiene como objetivo el reparto equitativo del costo entre los diferentes tipos usuarios de la energía eléctrica y establecer una ruta de eficiencia en la prestación del servicio de distribución.</w:t>
      </w:r>
      <w:r w:rsidRPr="00814C47">
        <w:rPr>
          <w:rFonts w:ascii="Arial Narrow" w:hAnsi="Arial Narrow"/>
          <w:lang w:val="es-UY"/>
        </w:rPr>
        <w:t>, l</w:t>
      </w:r>
      <w:r w:rsidR="009B247E" w:rsidRPr="00814C47">
        <w:rPr>
          <w:rFonts w:ascii="Arial Narrow" w:hAnsi="Arial Narrow"/>
          <w:lang w:val="es-UY"/>
        </w:rPr>
        <w:t xml:space="preserve">as tarifas de Distribución se ajustarán anualmente </w:t>
      </w:r>
      <w:r w:rsidRPr="00814C47">
        <w:rPr>
          <w:rFonts w:ascii="Arial Narrow" w:hAnsi="Arial Narrow"/>
          <w:lang w:val="es-UY"/>
        </w:rPr>
        <w:t xml:space="preserve">a partir de 2017 </w:t>
      </w:r>
      <w:r w:rsidR="009B247E" w:rsidRPr="00814C47">
        <w:rPr>
          <w:rFonts w:ascii="Arial Narrow" w:hAnsi="Arial Narrow"/>
          <w:lang w:val="es-UY"/>
        </w:rPr>
        <w:t>de acuerdo a la siguiente fórmula de indexación:</w:t>
      </w:r>
    </w:p>
    <w:p w:rsidR="009B247E" w:rsidRPr="00814C47" w:rsidRDefault="002B10BE" w:rsidP="00814C47">
      <w:pPr>
        <w:spacing w:line="240" w:lineRule="auto"/>
        <w:jc w:val="both"/>
        <w:rPr>
          <w:rFonts w:ascii="Arial Narrow" w:hAnsi="Arial Narrow"/>
          <w:lang w:val="es-UY"/>
        </w:rPr>
      </w:pPr>
      <m:oMathPara>
        <m:oMath>
          <m:sSubSup>
            <m:sSubSupPr>
              <m:ctrlPr>
                <w:rPr>
                  <w:rFonts w:ascii="Cambria Math" w:hAnsi="Cambria Math"/>
                  <w:i/>
                  <w:lang w:val="es-UY"/>
                </w:rPr>
              </m:ctrlPr>
            </m:sSubSupPr>
            <m:e>
              <m:r>
                <w:rPr>
                  <w:rFonts w:ascii="Cambria Math" w:hAnsi="Cambria Math"/>
                  <w:lang w:val="es-UY"/>
                </w:rPr>
                <m:t>TD</m:t>
              </m:r>
            </m:e>
            <m:sub>
              <m:r>
                <w:rPr>
                  <w:rFonts w:ascii="Cambria Math" w:hAnsi="Cambria Math"/>
                  <w:lang w:val="es-UY"/>
                </w:rPr>
                <m:t>t</m:t>
              </m:r>
            </m:sub>
            <m:sup>
              <m:r>
                <w:rPr>
                  <w:rFonts w:ascii="Cambria Math" w:hAnsi="Cambria Math"/>
                  <w:lang w:val="es-UY"/>
                </w:rPr>
                <m:t>i</m:t>
              </m:r>
            </m:sup>
          </m:sSubSup>
          <m:r>
            <w:rPr>
              <w:rFonts w:ascii="Cambria Math" w:hAnsi="Cambria Math"/>
              <w:lang w:val="es-UY"/>
            </w:rPr>
            <m:t>=</m:t>
          </m:r>
          <m:sSubSup>
            <m:sSubSupPr>
              <m:ctrlPr>
                <w:rPr>
                  <w:rFonts w:ascii="Cambria Math" w:hAnsi="Cambria Math"/>
                  <w:i/>
                  <w:lang w:val="es-UY"/>
                </w:rPr>
              </m:ctrlPr>
            </m:sSubSupPr>
            <m:e>
              <m:r>
                <w:rPr>
                  <w:rFonts w:ascii="Cambria Math" w:hAnsi="Cambria Math"/>
                  <w:lang w:val="es-UY"/>
                </w:rPr>
                <m:t>TD</m:t>
              </m:r>
            </m:e>
            <m:sub>
              <m:r>
                <w:rPr>
                  <w:rFonts w:ascii="Cambria Math" w:hAnsi="Cambria Math"/>
                  <w:lang w:val="es-UY"/>
                </w:rPr>
                <m:t>t-1</m:t>
              </m:r>
            </m:sub>
            <m:sup>
              <m:r>
                <w:rPr>
                  <w:rFonts w:ascii="Cambria Math" w:hAnsi="Cambria Math"/>
                  <w:lang w:val="es-UY"/>
                </w:rPr>
                <m:t>i</m:t>
              </m:r>
            </m:sup>
          </m:sSubSup>
          <m:r>
            <w:rPr>
              <w:rFonts w:ascii="Cambria Math" w:hAnsi="Cambria Math"/>
              <w:lang w:val="es-UY"/>
            </w:rPr>
            <m:t xml:space="preserve">* </m:t>
          </m:r>
          <m:d>
            <m:dPr>
              <m:ctrlPr>
                <w:rPr>
                  <w:rFonts w:ascii="Cambria Math" w:hAnsi="Cambria Math"/>
                  <w:i/>
                  <w:lang w:val="es-UY"/>
                </w:rPr>
              </m:ctrlPr>
            </m:dPr>
            <m:e>
              <m:r>
                <w:rPr>
                  <w:rFonts w:ascii="Cambria Math" w:hAnsi="Cambria Math"/>
                  <w:lang w:val="es-UY"/>
                </w:rPr>
                <m:t>1+Inflación-FEC-FEE</m:t>
              </m:r>
            </m:e>
          </m:d>
        </m:oMath>
      </m:oMathPara>
    </w:p>
    <w:p w:rsidR="009B247E" w:rsidRPr="00814C47" w:rsidRDefault="009B247E" w:rsidP="00814C47">
      <w:pPr>
        <w:spacing w:line="240" w:lineRule="auto"/>
        <w:ind w:left="284"/>
        <w:jc w:val="both"/>
        <w:rPr>
          <w:rFonts w:ascii="Arial Narrow" w:hAnsi="Arial Narrow"/>
          <w:lang w:val="es-UY"/>
        </w:rPr>
      </w:pPr>
      <w:r w:rsidRPr="00814C47">
        <w:rPr>
          <w:rFonts w:ascii="Arial Narrow" w:hAnsi="Arial Narrow"/>
          <w:lang w:val="es-UY"/>
        </w:rPr>
        <w:t>Donde:</w:t>
      </w:r>
    </w:p>
    <w:p w:rsidR="009B247E" w:rsidRPr="00814C47" w:rsidRDefault="002B10BE" w:rsidP="00814C47">
      <w:pPr>
        <w:spacing w:line="240" w:lineRule="auto"/>
        <w:ind w:left="567"/>
        <w:jc w:val="both"/>
        <w:rPr>
          <w:rFonts w:ascii="Arial Narrow" w:hAnsi="Arial Narrow"/>
        </w:rPr>
      </w:pPr>
      <m:oMath>
        <m:sSubSup>
          <m:sSubSupPr>
            <m:ctrlPr>
              <w:rPr>
                <w:rFonts w:ascii="Cambria Math" w:hAnsi="Cambria Math"/>
                <w:i/>
                <w:lang w:val="es-UY"/>
              </w:rPr>
            </m:ctrlPr>
          </m:sSubSupPr>
          <m:e>
            <m:r>
              <w:rPr>
                <w:rFonts w:ascii="Cambria Math" w:hAnsi="Cambria Math"/>
                <w:lang w:val="es-UY"/>
              </w:rPr>
              <m:t>TD</m:t>
            </m:r>
          </m:e>
          <m:sub>
            <m:r>
              <w:rPr>
                <w:rFonts w:ascii="Cambria Math" w:hAnsi="Cambria Math"/>
                <w:lang w:val="es-UY"/>
              </w:rPr>
              <m:t>t</m:t>
            </m:r>
          </m:sub>
          <m:sup>
            <m:r>
              <w:rPr>
                <w:rFonts w:ascii="Cambria Math" w:hAnsi="Cambria Math"/>
                <w:lang w:val="es-UY"/>
              </w:rPr>
              <m:t>i</m:t>
            </m:r>
          </m:sup>
        </m:sSubSup>
      </m:oMath>
      <w:r w:rsidR="009B247E" w:rsidRPr="00814C47">
        <w:rPr>
          <w:rFonts w:ascii="Arial Narrow" w:hAnsi="Arial Narrow"/>
          <w:lang w:val="es-UY"/>
        </w:rPr>
        <w:t xml:space="preserve"> es la </w:t>
      </w:r>
      <w:r w:rsidR="009B247E" w:rsidRPr="00814C47">
        <w:rPr>
          <w:rFonts w:ascii="Arial Narrow" w:hAnsi="Arial Narrow"/>
        </w:rPr>
        <w:t>tarifa de Distribución del usuario de la categoría i en el período t.</w:t>
      </w:r>
    </w:p>
    <w:p w:rsidR="009B247E" w:rsidRPr="00814C47" w:rsidRDefault="002B10BE" w:rsidP="00814C47">
      <w:pPr>
        <w:spacing w:line="240" w:lineRule="auto"/>
        <w:ind w:left="567"/>
        <w:jc w:val="both"/>
        <w:rPr>
          <w:rFonts w:ascii="Arial Narrow" w:hAnsi="Arial Narrow"/>
        </w:rPr>
      </w:pPr>
      <m:oMath>
        <m:sSubSup>
          <m:sSubSupPr>
            <m:ctrlPr>
              <w:rPr>
                <w:rFonts w:ascii="Cambria Math" w:hAnsi="Cambria Math"/>
                <w:i/>
                <w:lang w:val="es-UY"/>
              </w:rPr>
            </m:ctrlPr>
          </m:sSubSupPr>
          <m:e>
            <m:r>
              <w:rPr>
                <w:rFonts w:ascii="Cambria Math" w:hAnsi="Cambria Math"/>
                <w:lang w:val="es-UY"/>
              </w:rPr>
              <m:t>TD</m:t>
            </m:r>
          </m:e>
          <m:sub>
            <m:r>
              <w:rPr>
                <w:rFonts w:ascii="Cambria Math" w:hAnsi="Cambria Math"/>
                <w:lang w:val="es-UY"/>
              </w:rPr>
              <m:t>t-1</m:t>
            </m:r>
          </m:sub>
          <m:sup>
            <m:r>
              <w:rPr>
                <w:rFonts w:ascii="Cambria Math" w:hAnsi="Cambria Math"/>
                <w:lang w:val="es-UY"/>
              </w:rPr>
              <m:t>i</m:t>
            </m:r>
          </m:sup>
        </m:sSubSup>
      </m:oMath>
      <w:r w:rsidR="009B247E" w:rsidRPr="00814C47">
        <w:rPr>
          <w:rFonts w:ascii="Arial Narrow" w:hAnsi="Arial Narrow"/>
          <w:lang w:val="es-UY"/>
        </w:rPr>
        <w:t xml:space="preserve"> es la </w:t>
      </w:r>
      <w:r w:rsidR="009B247E" w:rsidRPr="00814C47">
        <w:rPr>
          <w:rFonts w:ascii="Arial Narrow" w:hAnsi="Arial Narrow"/>
        </w:rPr>
        <w:t>tarifa de Distribución del usuario de la categoría i en el período t-1.</w:t>
      </w:r>
    </w:p>
    <w:p w:rsidR="009B247E" w:rsidRPr="00814C47" w:rsidRDefault="009B247E" w:rsidP="00814C47">
      <w:pPr>
        <w:spacing w:line="240" w:lineRule="auto"/>
        <w:ind w:left="567"/>
        <w:jc w:val="both"/>
        <w:rPr>
          <w:rFonts w:ascii="Arial Narrow" w:hAnsi="Arial Narrow"/>
        </w:rPr>
      </w:pPr>
      <m:oMath>
        <m:r>
          <w:rPr>
            <w:rFonts w:ascii="Cambria Math" w:hAnsi="Cambria Math"/>
            <w:lang w:val="es-UY"/>
          </w:rPr>
          <m:t>Inflación</m:t>
        </m:r>
      </m:oMath>
      <w:r w:rsidRPr="00814C47">
        <w:rPr>
          <w:rFonts w:ascii="Arial Narrow" w:hAnsi="Arial Narrow"/>
          <w:lang w:val="es-UY"/>
        </w:rPr>
        <w:t xml:space="preserve"> es la </w:t>
      </w:r>
      <w:r w:rsidRPr="00814C47">
        <w:rPr>
          <w:rFonts w:ascii="Arial Narrow" w:hAnsi="Arial Narrow"/>
        </w:rPr>
        <w:t>es la variación entre el período t-1 y t del Índice Nacional de Precios al Productor indicado en el numeral a. siguiente.</w:t>
      </w:r>
    </w:p>
    <w:p w:rsidR="009B247E" w:rsidRPr="00814C47" w:rsidRDefault="009B247E" w:rsidP="00814C47">
      <w:pPr>
        <w:spacing w:line="240" w:lineRule="auto"/>
        <w:ind w:left="567"/>
        <w:jc w:val="both"/>
        <w:rPr>
          <w:rFonts w:ascii="Arial Narrow" w:hAnsi="Arial Narrow"/>
          <w:lang w:val="es-UY"/>
        </w:rPr>
      </w:pPr>
      <m:oMath>
        <m:r>
          <w:rPr>
            <w:rFonts w:ascii="Cambria Math" w:hAnsi="Cambria Math"/>
            <w:lang w:val="es-UY"/>
          </w:rPr>
          <w:lastRenderedPageBreak/>
          <m:t>FEC</m:t>
        </m:r>
      </m:oMath>
      <w:r w:rsidRPr="00814C47">
        <w:rPr>
          <w:rFonts w:ascii="Arial Narrow" w:hAnsi="Arial Narrow"/>
          <w:lang w:val="es-UY"/>
        </w:rPr>
        <w:t xml:space="preserve"> es el Factor de Eficiencia en Costos</w:t>
      </w:r>
      <w:r w:rsidRPr="00814C47">
        <w:rPr>
          <w:rFonts w:ascii="Arial Narrow" w:hAnsi="Arial Narrow"/>
        </w:rPr>
        <w:t xml:space="preserve"> indicado en el numeral b. siguiente.</w:t>
      </w:r>
    </w:p>
    <w:p w:rsidR="009935D0" w:rsidRPr="003C667D" w:rsidRDefault="009B247E" w:rsidP="00C26A6D">
      <w:pPr>
        <w:spacing w:line="240" w:lineRule="auto"/>
        <w:ind w:left="708" w:hanging="141"/>
        <w:jc w:val="both"/>
        <w:rPr>
          <w:rFonts w:ascii="Arial Narrow" w:hAnsi="Arial Narrow"/>
          <w:lang w:val="es-UY"/>
        </w:rPr>
      </w:pPr>
      <m:oMath>
        <m:r>
          <w:rPr>
            <w:rFonts w:ascii="Cambria Math" w:hAnsi="Cambria Math"/>
            <w:lang w:val="es-UY"/>
          </w:rPr>
          <m:t>FEE</m:t>
        </m:r>
      </m:oMath>
      <w:r w:rsidRPr="00814C47">
        <w:rPr>
          <w:rFonts w:ascii="Arial Narrow" w:hAnsi="Arial Narrow"/>
          <w:lang w:val="es-UY"/>
        </w:rPr>
        <w:t xml:space="preserve"> es </w:t>
      </w:r>
      <w:r w:rsidR="00C26A6D">
        <w:rPr>
          <w:rFonts w:ascii="Arial Narrow" w:hAnsi="Arial Narrow"/>
          <w:lang w:val="es-UY"/>
        </w:rPr>
        <w:t>el</w:t>
      </w:r>
      <w:r w:rsidRPr="00814C47">
        <w:rPr>
          <w:rFonts w:ascii="Arial Narrow" w:hAnsi="Arial Narrow"/>
          <w:lang w:val="es-UY"/>
        </w:rPr>
        <w:t xml:space="preserve"> Factor de Economías de Escala</w:t>
      </w:r>
    </w:p>
    <w:sectPr w:rsidR="009935D0" w:rsidRPr="003C667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0BE" w:rsidRDefault="002B10BE" w:rsidP="00D6365C">
      <w:pPr>
        <w:spacing w:after="0" w:line="240" w:lineRule="auto"/>
      </w:pPr>
      <w:r>
        <w:separator/>
      </w:r>
    </w:p>
  </w:endnote>
  <w:endnote w:type="continuationSeparator" w:id="0">
    <w:p w:rsidR="002B10BE" w:rsidRDefault="002B10BE" w:rsidP="00D6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0BE" w:rsidRDefault="002B10BE" w:rsidP="00D6365C">
      <w:pPr>
        <w:spacing w:after="0" w:line="240" w:lineRule="auto"/>
      </w:pPr>
      <w:r>
        <w:separator/>
      </w:r>
    </w:p>
  </w:footnote>
  <w:footnote w:type="continuationSeparator" w:id="0">
    <w:p w:rsidR="002B10BE" w:rsidRDefault="002B10BE" w:rsidP="00D636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66DE4"/>
    <w:multiLevelType w:val="hybridMultilevel"/>
    <w:tmpl w:val="2CE6C10C"/>
    <w:lvl w:ilvl="0" w:tplc="9D066340">
      <w:start w:val="1"/>
      <w:numFmt w:val="bullet"/>
      <w:lvlText w:val=""/>
      <w:lvlJc w:val="left"/>
      <w:pPr>
        <w:tabs>
          <w:tab w:val="num" w:pos="720"/>
        </w:tabs>
        <w:ind w:left="720" w:hanging="360"/>
      </w:pPr>
      <w:rPr>
        <w:rFonts w:ascii="Wingdings" w:hAnsi="Wingdings" w:hint="default"/>
        <w:color w:val="365F91" w:themeColor="accent1" w:themeShade="BF"/>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B300702"/>
    <w:multiLevelType w:val="hybridMultilevel"/>
    <w:tmpl w:val="7460F4BC"/>
    <w:lvl w:ilvl="0" w:tplc="080A0017">
      <w:start w:val="1"/>
      <w:numFmt w:val="lowerLetter"/>
      <w:lvlText w:val="%1)"/>
      <w:lvlJc w:val="left"/>
      <w:pPr>
        <w:ind w:left="786" w:hanging="360"/>
      </w:pPr>
    </w:lvl>
    <w:lvl w:ilvl="1" w:tplc="938278FA">
      <w:start w:val="1"/>
      <w:numFmt w:val="decimal"/>
      <w:lvlText w:val="(%2)"/>
      <w:lvlJc w:val="left"/>
      <w:pPr>
        <w:ind w:left="1506" w:hanging="360"/>
      </w:pPr>
      <w:rPr>
        <w:rFonts w:hint="default"/>
      </w:r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nsid w:val="31960327"/>
    <w:multiLevelType w:val="hybridMultilevel"/>
    <w:tmpl w:val="521C665E"/>
    <w:lvl w:ilvl="0" w:tplc="9D066340">
      <w:start w:val="1"/>
      <w:numFmt w:val="bullet"/>
      <w:lvlText w:val=""/>
      <w:lvlJc w:val="left"/>
      <w:pPr>
        <w:ind w:left="1068" w:hanging="360"/>
      </w:pPr>
      <w:rPr>
        <w:rFonts w:ascii="Wingdings" w:hAnsi="Wingdings" w:hint="default"/>
        <w:color w:val="365F91" w:themeColor="accent1" w:themeShade="BF"/>
      </w:rPr>
    </w:lvl>
    <w:lvl w:ilvl="1" w:tplc="9D066340">
      <w:start w:val="1"/>
      <w:numFmt w:val="bullet"/>
      <w:lvlText w:val=""/>
      <w:lvlJc w:val="left"/>
      <w:pPr>
        <w:ind w:left="1788" w:hanging="360"/>
      </w:pPr>
      <w:rPr>
        <w:rFonts w:ascii="Wingdings" w:hAnsi="Wingdings" w:hint="default"/>
        <w:color w:val="365F91" w:themeColor="accent1" w:themeShade="BF"/>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3BCC3477"/>
    <w:multiLevelType w:val="hybridMultilevel"/>
    <w:tmpl w:val="D97E55E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49DE02A0"/>
    <w:multiLevelType w:val="hybridMultilevel"/>
    <w:tmpl w:val="C6240EDE"/>
    <w:lvl w:ilvl="0" w:tplc="9D066340">
      <w:start w:val="1"/>
      <w:numFmt w:val="bullet"/>
      <w:lvlText w:val=""/>
      <w:lvlJc w:val="left"/>
      <w:pPr>
        <w:tabs>
          <w:tab w:val="num" w:pos="720"/>
        </w:tabs>
        <w:ind w:left="720" w:hanging="360"/>
      </w:pPr>
      <w:rPr>
        <w:rFonts w:ascii="Wingdings" w:hAnsi="Wingdings" w:hint="default"/>
        <w:color w:val="365F91" w:themeColor="accent1" w:themeShade="BF"/>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1B9784E"/>
    <w:multiLevelType w:val="hybridMultilevel"/>
    <w:tmpl w:val="537AC002"/>
    <w:lvl w:ilvl="0" w:tplc="2C0A0001">
      <w:start w:val="1"/>
      <w:numFmt w:val="bullet"/>
      <w:lvlText w:val=""/>
      <w:lvlJc w:val="left"/>
      <w:pPr>
        <w:ind w:left="720" w:hanging="360"/>
      </w:pPr>
      <w:rPr>
        <w:rFonts w:ascii="Symbol" w:hAnsi="Symbol" w:hint="default"/>
      </w:rPr>
    </w:lvl>
    <w:lvl w:ilvl="1" w:tplc="9D066340">
      <w:start w:val="1"/>
      <w:numFmt w:val="bullet"/>
      <w:lvlText w:val=""/>
      <w:lvlJc w:val="left"/>
      <w:pPr>
        <w:ind w:left="1440" w:hanging="360"/>
      </w:pPr>
      <w:rPr>
        <w:rFonts w:ascii="Wingdings" w:hAnsi="Wingdings" w:hint="default"/>
        <w:color w:val="365F91" w:themeColor="accent1" w:themeShade="BF"/>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56037DEA"/>
    <w:multiLevelType w:val="hybridMultilevel"/>
    <w:tmpl w:val="BCBAE2BC"/>
    <w:lvl w:ilvl="0" w:tplc="9D066340">
      <w:start w:val="1"/>
      <w:numFmt w:val="bullet"/>
      <w:lvlText w:val=""/>
      <w:lvlJc w:val="left"/>
      <w:pPr>
        <w:ind w:left="720" w:hanging="360"/>
      </w:pPr>
      <w:rPr>
        <w:rFonts w:ascii="Wingdings" w:hAnsi="Wingdings" w:hint="default"/>
        <w:color w:val="365F91" w:themeColor="accent1" w:themeShade="BF"/>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70C2303"/>
    <w:multiLevelType w:val="multilevel"/>
    <w:tmpl w:val="E334E7A6"/>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573135C2"/>
    <w:multiLevelType w:val="hybridMultilevel"/>
    <w:tmpl w:val="37064CA8"/>
    <w:lvl w:ilvl="0" w:tplc="08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58865F57"/>
    <w:multiLevelType w:val="hybridMultilevel"/>
    <w:tmpl w:val="985C8A0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080A000D">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5BFD4650"/>
    <w:multiLevelType w:val="multilevel"/>
    <w:tmpl w:val="B7C4724A"/>
    <w:lvl w:ilvl="0">
      <w:start w:val="1"/>
      <w:numFmt w:val="decimal"/>
      <w:lvlText w:val="%1."/>
      <w:lvlJc w:val="left"/>
      <w:pPr>
        <w:ind w:left="791" w:hanging="360"/>
      </w:pPr>
      <w:rPr>
        <w:rFonts w:hint="default"/>
      </w:rPr>
    </w:lvl>
    <w:lvl w:ilvl="1">
      <w:start w:val="1"/>
      <w:numFmt w:val="decimal"/>
      <w:isLgl/>
      <w:lvlText w:val="%1.%2"/>
      <w:lvlJc w:val="left"/>
      <w:pPr>
        <w:ind w:left="435" w:hanging="435"/>
      </w:pPr>
      <w:rPr>
        <w:rFonts w:hint="default"/>
      </w:rPr>
    </w:lvl>
    <w:lvl w:ilvl="2">
      <w:start w:val="1"/>
      <w:numFmt w:val="decimal"/>
      <w:isLgl/>
      <w:lvlText w:val="%1.%2.%3"/>
      <w:lvlJc w:val="left"/>
      <w:pPr>
        <w:ind w:left="1151" w:hanging="720"/>
      </w:pPr>
      <w:rPr>
        <w:rFonts w:hint="default"/>
      </w:rPr>
    </w:lvl>
    <w:lvl w:ilvl="3">
      <w:start w:val="1"/>
      <w:numFmt w:val="decimal"/>
      <w:isLgl/>
      <w:lvlText w:val="%1.%2.%3.%4"/>
      <w:lvlJc w:val="left"/>
      <w:pPr>
        <w:ind w:left="1151" w:hanging="720"/>
      </w:pPr>
      <w:rPr>
        <w:rFonts w:hint="default"/>
      </w:rPr>
    </w:lvl>
    <w:lvl w:ilvl="4">
      <w:start w:val="1"/>
      <w:numFmt w:val="decimal"/>
      <w:isLgl/>
      <w:lvlText w:val="%1.%2.%3.%4.%5"/>
      <w:lvlJc w:val="left"/>
      <w:pPr>
        <w:ind w:left="1511" w:hanging="1080"/>
      </w:pPr>
      <w:rPr>
        <w:rFonts w:hint="default"/>
      </w:rPr>
    </w:lvl>
    <w:lvl w:ilvl="5">
      <w:start w:val="1"/>
      <w:numFmt w:val="decimal"/>
      <w:isLgl/>
      <w:lvlText w:val="%1.%2.%3.%4.%5.%6"/>
      <w:lvlJc w:val="left"/>
      <w:pPr>
        <w:ind w:left="1511" w:hanging="1080"/>
      </w:pPr>
      <w:rPr>
        <w:rFonts w:hint="default"/>
      </w:rPr>
    </w:lvl>
    <w:lvl w:ilvl="6">
      <w:start w:val="1"/>
      <w:numFmt w:val="decimal"/>
      <w:isLgl/>
      <w:lvlText w:val="%1.%2.%3.%4.%5.%6.%7"/>
      <w:lvlJc w:val="left"/>
      <w:pPr>
        <w:ind w:left="1871" w:hanging="1440"/>
      </w:pPr>
      <w:rPr>
        <w:rFonts w:hint="default"/>
      </w:rPr>
    </w:lvl>
    <w:lvl w:ilvl="7">
      <w:start w:val="1"/>
      <w:numFmt w:val="decimal"/>
      <w:isLgl/>
      <w:lvlText w:val="%1.%2.%3.%4.%5.%6.%7.%8"/>
      <w:lvlJc w:val="left"/>
      <w:pPr>
        <w:ind w:left="1871" w:hanging="1440"/>
      </w:pPr>
      <w:rPr>
        <w:rFonts w:hint="default"/>
      </w:rPr>
    </w:lvl>
    <w:lvl w:ilvl="8">
      <w:start w:val="1"/>
      <w:numFmt w:val="decimal"/>
      <w:isLgl/>
      <w:lvlText w:val="%1.%2.%3.%4.%5.%6.%7.%8.%9"/>
      <w:lvlJc w:val="left"/>
      <w:pPr>
        <w:ind w:left="1871" w:hanging="1440"/>
      </w:pPr>
      <w:rPr>
        <w:rFonts w:hint="default"/>
      </w:rPr>
    </w:lvl>
  </w:abstractNum>
  <w:abstractNum w:abstractNumId="11">
    <w:nsid w:val="626579F9"/>
    <w:multiLevelType w:val="multilevel"/>
    <w:tmpl w:val="2B2A2FE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nsid w:val="67450EF9"/>
    <w:multiLevelType w:val="hybridMultilevel"/>
    <w:tmpl w:val="24C62414"/>
    <w:lvl w:ilvl="0" w:tplc="080A0017">
      <w:start w:val="1"/>
      <w:numFmt w:val="lowerLetter"/>
      <w:lvlText w:val="%1)"/>
      <w:lvlJc w:val="left"/>
      <w:pPr>
        <w:ind w:left="1068" w:hanging="360"/>
      </w:pPr>
    </w:lvl>
    <w:lvl w:ilvl="1" w:tplc="9D066340">
      <w:start w:val="1"/>
      <w:numFmt w:val="bullet"/>
      <w:lvlText w:val=""/>
      <w:lvlJc w:val="left"/>
      <w:pPr>
        <w:ind w:left="1788" w:hanging="360"/>
      </w:pPr>
      <w:rPr>
        <w:rFonts w:ascii="Wingdings" w:hAnsi="Wingdings" w:hint="default"/>
        <w:color w:val="365F91" w:themeColor="accent1" w:themeShade="BF"/>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6EFE4446"/>
    <w:multiLevelType w:val="hybridMultilevel"/>
    <w:tmpl w:val="07244284"/>
    <w:lvl w:ilvl="0" w:tplc="9D066340">
      <w:start w:val="1"/>
      <w:numFmt w:val="bullet"/>
      <w:lvlText w:val=""/>
      <w:lvlJc w:val="left"/>
      <w:pPr>
        <w:ind w:left="720" w:hanging="360"/>
      </w:pPr>
      <w:rPr>
        <w:rFonts w:ascii="Wingdings" w:hAnsi="Wingdings" w:hint="default"/>
        <w:color w:val="365F91" w:themeColor="accent1" w:themeShade="BF"/>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708E58A7"/>
    <w:multiLevelType w:val="hybridMultilevel"/>
    <w:tmpl w:val="74F8A980"/>
    <w:lvl w:ilvl="0" w:tplc="6DBEA264">
      <w:start w:val="1"/>
      <w:numFmt w:val="lowerLetter"/>
      <w:lvlText w:val="%1)"/>
      <w:lvlJc w:val="left"/>
      <w:pPr>
        <w:ind w:left="1511" w:hanging="360"/>
      </w:pPr>
      <w:rPr>
        <w:rFonts w:hint="default"/>
      </w:rPr>
    </w:lvl>
    <w:lvl w:ilvl="1" w:tplc="080A0019" w:tentative="1">
      <w:start w:val="1"/>
      <w:numFmt w:val="lowerLetter"/>
      <w:lvlText w:val="%2."/>
      <w:lvlJc w:val="left"/>
      <w:pPr>
        <w:ind w:left="2231" w:hanging="360"/>
      </w:pPr>
    </w:lvl>
    <w:lvl w:ilvl="2" w:tplc="080A001B" w:tentative="1">
      <w:start w:val="1"/>
      <w:numFmt w:val="lowerRoman"/>
      <w:lvlText w:val="%3."/>
      <w:lvlJc w:val="right"/>
      <w:pPr>
        <w:ind w:left="2951" w:hanging="180"/>
      </w:pPr>
    </w:lvl>
    <w:lvl w:ilvl="3" w:tplc="080A000F" w:tentative="1">
      <w:start w:val="1"/>
      <w:numFmt w:val="decimal"/>
      <w:lvlText w:val="%4."/>
      <w:lvlJc w:val="left"/>
      <w:pPr>
        <w:ind w:left="3671" w:hanging="360"/>
      </w:pPr>
    </w:lvl>
    <w:lvl w:ilvl="4" w:tplc="080A0019" w:tentative="1">
      <w:start w:val="1"/>
      <w:numFmt w:val="lowerLetter"/>
      <w:lvlText w:val="%5."/>
      <w:lvlJc w:val="left"/>
      <w:pPr>
        <w:ind w:left="4391" w:hanging="360"/>
      </w:pPr>
    </w:lvl>
    <w:lvl w:ilvl="5" w:tplc="080A001B" w:tentative="1">
      <w:start w:val="1"/>
      <w:numFmt w:val="lowerRoman"/>
      <w:lvlText w:val="%6."/>
      <w:lvlJc w:val="right"/>
      <w:pPr>
        <w:ind w:left="5111" w:hanging="180"/>
      </w:pPr>
    </w:lvl>
    <w:lvl w:ilvl="6" w:tplc="080A000F" w:tentative="1">
      <w:start w:val="1"/>
      <w:numFmt w:val="decimal"/>
      <w:lvlText w:val="%7."/>
      <w:lvlJc w:val="left"/>
      <w:pPr>
        <w:ind w:left="5831" w:hanging="360"/>
      </w:pPr>
    </w:lvl>
    <w:lvl w:ilvl="7" w:tplc="080A0019" w:tentative="1">
      <w:start w:val="1"/>
      <w:numFmt w:val="lowerLetter"/>
      <w:lvlText w:val="%8."/>
      <w:lvlJc w:val="left"/>
      <w:pPr>
        <w:ind w:left="6551" w:hanging="360"/>
      </w:pPr>
    </w:lvl>
    <w:lvl w:ilvl="8" w:tplc="080A001B" w:tentative="1">
      <w:start w:val="1"/>
      <w:numFmt w:val="lowerRoman"/>
      <w:lvlText w:val="%9."/>
      <w:lvlJc w:val="right"/>
      <w:pPr>
        <w:ind w:left="7271" w:hanging="180"/>
      </w:pPr>
    </w:lvl>
  </w:abstractNum>
  <w:num w:numId="1">
    <w:abstractNumId w:val="10"/>
  </w:num>
  <w:num w:numId="2">
    <w:abstractNumId w:val="1"/>
  </w:num>
  <w:num w:numId="3">
    <w:abstractNumId w:val="14"/>
  </w:num>
  <w:num w:numId="4">
    <w:abstractNumId w:val="7"/>
  </w:num>
  <w:num w:numId="5">
    <w:abstractNumId w:val="3"/>
  </w:num>
  <w:num w:numId="6">
    <w:abstractNumId w:val="0"/>
  </w:num>
  <w:num w:numId="7">
    <w:abstractNumId w:val="6"/>
  </w:num>
  <w:num w:numId="8">
    <w:abstractNumId w:val="4"/>
  </w:num>
  <w:num w:numId="9">
    <w:abstractNumId w:val="12"/>
  </w:num>
  <w:num w:numId="10">
    <w:abstractNumId w:val="9"/>
  </w:num>
  <w:num w:numId="11">
    <w:abstractNumId w:val="5"/>
  </w:num>
  <w:num w:numId="12">
    <w:abstractNumId w:val="13"/>
  </w:num>
  <w:num w:numId="13">
    <w:abstractNumId w:val="8"/>
  </w:num>
  <w:num w:numId="14">
    <w:abstractNumId w:val="2"/>
  </w:num>
  <w:num w:numId="1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131078" w:nlCheck="1" w:checkStyle="0"/>
  <w:activeWritingStyle w:appName="MSWord" w:lang="es-MX" w:vendorID="64" w:dllVersion="131078" w:nlCheck="1" w:checkStyle="1"/>
  <w:activeWritingStyle w:appName="MSWord" w:lang="es-AR" w:vendorID="64" w:dllVersion="131078" w:nlCheck="1" w:checkStyle="1"/>
  <w:activeWritingStyle w:appName="MSWord" w:lang="es-UY" w:vendorID="64" w:dllVersion="131078" w:nlCheck="1" w:checkStyle="1"/>
  <w:activeWritingStyle w:appName="MSWord" w:lang="es-ES" w:vendorID="64" w:dllVersion="131078" w:nlCheck="1" w:checkStyle="1"/>
  <w:activeWritingStyle w:appName="MSWord" w:lang="en-US" w:vendorID="64" w:dllVersion="131078" w:nlCheck="1" w:checkStyle="1"/>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65C"/>
    <w:rsid w:val="00003B67"/>
    <w:rsid w:val="00017668"/>
    <w:rsid w:val="00022A87"/>
    <w:rsid w:val="000242AA"/>
    <w:rsid w:val="00036667"/>
    <w:rsid w:val="000461F2"/>
    <w:rsid w:val="0005477C"/>
    <w:rsid w:val="00061331"/>
    <w:rsid w:val="0008178A"/>
    <w:rsid w:val="00082F7D"/>
    <w:rsid w:val="00084C4E"/>
    <w:rsid w:val="0009059B"/>
    <w:rsid w:val="00091390"/>
    <w:rsid w:val="00097545"/>
    <w:rsid w:val="000C5C23"/>
    <w:rsid w:val="000D0075"/>
    <w:rsid w:val="000F20E0"/>
    <w:rsid w:val="001109A6"/>
    <w:rsid w:val="00115986"/>
    <w:rsid w:val="00122342"/>
    <w:rsid w:val="001242F4"/>
    <w:rsid w:val="00124D4B"/>
    <w:rsid w:val="00130048"/>
    <w:rsid w:val="00132255"/>
    <w:rsid w:val="001505BF"/>
    <w:rsid w:val="00154B0E"/>
    <w:rsid w:val="00162B8A"/>
    <w:rsid w:val="0016333E"/>
    <w:rsid w:val="00164E24"/>
    <w:rsid w:val="0017264C"/>
    <w:rsid w:val="001726B6"/>
    <w:rsid w:val="00175B3E"/>
    <w:rsid w:val="001770D9"/>
    <w:rsid w:val="00182992"/>
    <w:rsid w:val="00182D4E"/>
    <w:rsid w:val="00183008"/>
    <w:rsid w:val="0018648A"/>
    <w:rsid w:val="001A47A4"/>
    <w:rsid w:val="001A7EB4"/>
    <w:rsid w:val="001F157A"/>
    <w:rsid w:val="001F28F7"/>
    <w:rsid w:val="00217F1A"/>
    <w:rsid w:val="00223D68"/>
    <w:rsid w:val="0025073C"/>
    <w:rsid w:val="00260865"/>
    <w:rsid w:val="002617B5"/>
    <w:rsid w:val="00265F8C"/>
    <w:rsid w:val="00273DC2"/>
    <w:rsid w:val="00280444"/>
    <w:rsid w:val="00282984"/>
    <w:rsid w:val="002B10BE"/>
    <w:rsid w:val="002C6106"/>
    <w:rsid w:val="002D5035"/>
    <w:rsid w:val="002F6BEA"/>
    <w:rsid w:val="002F6E06"/>
    <w:rsid w:val="00307170"/>
    <w:rsid w:val="00335946"/>
    <w:rsid w:val="00336FF8"/>
    <w:rsid w:val="0036279F"/>
    <w:rsid w:val="00365296"/>
    <w:rsid w:val="00371D82"/>
    <w:rsid w:val="00374D0E"/>
    <w:rsid w:val="00377F6F"/>
    <w:rsid w:val="003837E4"/>
    <w:rsid w:val="003A0370"/>
    <w:rsid w:val="003B5035"/>
    <w:rsid w:val="003C39AA"/>
    <w:rsid w:val="003C667D"/>
    <w:rsid w:val="003C69D7"/>
    <w:rsid w:val="003D576E"/>
    <w:rsid w:val="003E3782"/>
    <w:rsid w:val="0043368E"/>
    <w:rsid w:val="00443395"/>
    <w:rsid w:val="004465FD"/>
    <w:rsid w:val="00463F42"/>
    <w:rsid w:val="0047592F"/>
    <w:rsid w:val="004924E0"/>
    <w:rsid w:val="004B5DF3"/>
    <w:rsid w:val="004C4EC5"/>
    <w:rsid w:val="004C7E34"/>
    <w:rsid w:val="004D2401"/>
    <w:rsid w:val="004D4AA6"/>
    <w:rsid w:val="004E1EFA"/>
    <w:rsid w:val="004E7F12"/>
    <w:rsid w:val="004F588D"/>
    <w:rsid w:val="00510E2A"/>
    <w:rsid w:val="00516F02"/>
    <w:rsid w:val="005175DA"/>
    <w:rsid w:val="00520048"/>
    <w:rsid w:val="00522ACC"/>
    <w:rsid w:val="00563E1D"/>
    <w:rsid w:val="00566282"/>
    <w:rsid w:val="00577C8D"/>
    <w:rsid w:val="005937A1"/>
    <w:rsid w:val="005A3765"/>
    <w:rsid w:val="005A60DB"/>
    <w:rsid w:val="005B3958"/>
    <w:rsid w:val="005B7A63"/>
    <w:rsid w:val="005F0CE9"/>
    <w:rsid w:val="005F7A3C"/>
    <w:rsid w:val="00602243"/>
    <w:rsid w:val="00615DD5"/>
    <w:rsid w:val="00626047"/>
    <w:rsid w:val="00653377"/>
    <w:rsid w:val="00660AEF"/>
    <w:rsid w:val="00660D53"/>
    <w:rsid w:val="00662554"/>
    <w:rsid w:val="00670FD1"/>
    <w:rsid w:val="00681FCD"/>
    <w:rsid w:val="00682857"/>
    <w:rsid w:val="00682CB3"/>
    <w:rsid w:val="006B40BB"/>
    <w:rsid w:val="006B6601"/>
    <w:rsid w:val="006D5CE4"/>
    <w:rsid w:val="006E1AD1"/>
    <w:rsid w:val="006F403C"/>
    <w:rsid w:val="007178E4"/>
    <w:rsid w:val="00720DC5"/>
    <w:rsid w:val="007210DA"/>
    <w:rsid w:val="00742F68"/>
    <w:rsid w:val="0074426B"/>
    <w:rsid w:val="00747833"/>
    <w:rsid w:val="00762E13"/>
    <w:rsid w:val="007678AA"/>
    <w:rsid w:val="007B598C"/>
    <w:rsid w:val="007B689E"/>
    <w:rsid w:val="007B6F5C"/>
    <w:rsid w:val="007C2147"/>
    <w:rsid w:val="007D55A2"/>
    <w:rsid w:val="007E44AF"/>
    <w:rsid w:val="0080038A"/>
    <w:rsid w:val="008016C8"/>
    <w:rsid w:val="00806B8E"/>
    <w:rsid w:val="00814C47"/>
    <w:rsid w:val="00837AAF"/>
    <w:rsid w:val="00875F5F"/>
    <w:rsid w:val="00876E7E"/>
    <w:rsid w:val="008951DA"/>
    <w:rsid w:val="00895317"/>
    <w:rsid w:val="008A293B"/>
    <w:rsid w:val="008B038D"/>
    <w:rsid w:val="008B3DEF"/>
    <w:rsid w:val="008C56E2"/>
    <w:rsid w:val="008F66CD"/>
    <w:rsid w:val="0091103D"/>
    <w:rsid w:val="0091751A"/>
    <w:rsid w:val="00920FD5"/>
    <w:rsid w:val="00926E7E"/>
    <w:rsid w:val="00930799"/>
    <w:rsid w:val="009465C0"/>
    <w:rsid w:val="0096062C"/>
    <w:rsid w:val="00966923"/>
    <w:rsid w:val="0097173C"/>
    <w:rsid w:val="00973C97"/>
    <w:rsid w:val="0097705C"/>
    <w:rsid w:val="009935D0"/>
    <w:rsid w:val="009B247E"/>
    <w:rsid w:val="009C366C"/>
    <w:rsid w:val="009C404B"/>
    <w:rsid w:val="009C41AE"/>
    <w:rsid w:val="009D0EFF"/>
    <w:rsid w:val="009D4C13"/>
    <w:rsid w:val="009E0975"/>
    <w:rsid w:val="009E6D17"/>
    <w:rsid w:val="009F11A7"/>
    <w:rsid w:val="00A34C2E"/>
    <w:rsid w:val="00A364DF"/>
    <w:rsid w:val="00A40277"/>
    <w:rsid w:val="00A42062"/>
    <w:rsid w:val="00A74C5C"/>
    <w:rsid w:val="00A821D5"/>
    <w:rsid w:val="00A82A36"/>
    <w:rsid w:val="00AA2746"/>
    <w:rsid w:val="00AC12D9"/>
    <w:rsid w:val="00AC5440"/>
    <w:rsid w:val="00AD1F34"/>
    <w:rsid w:val="00AD5D50"/>
    <w:rsid w:val="00AE33F2"/>
    <w:rsid w:val="00AE79F5"/>
    <w:rsid w:val="00AF2F0E"/>
    <w:rsid w:val="00AF5E05"/>
    <w:rsid w:val="00AF79A3"/>
    <w:rsid w:val="00AF7E8C"/>
    <w:rsid w:val="00B17CAF"/>
    <w:rsid w:val="00B245FE"/>
    <w:rsid w:val="00B24898"/>
    <w:rsid w:val="00B24EB7"/>
    <w:rsid w:val="00B35D10"/>
    <w:rsid w:val="00B40C07"/>
    <w:rsid w:val="00B422A4"/>
    <w:rsid w:val="00B62CCB"/>
    <w:rsid w:val="00B8795C"/>
    <w:rsid w:val="00BA1AFE"/>
    <w:rsid w:val="00BA6EEC"/>
    <w:rsid w:val="00BB362B"/>
    <w:rsid w:val="00BB53A2"/>
    <w:rsid w:val="00BD14D0"/>
    <w:rsid w:val="00BD2E2F"/>
    <w:rsid w:val="00BE3842"/>
    <w:rsid w:val="00BF522D"/>
    <w:rsid w:val="00BF7491"/>
    <w:rsid w:val="00C26A6D"/>
    <w:rsid w:val="00C37961"/>
    <w:rsid w:val="00C452AB"/>
    <w:rsid w:val="00C47006"/>
    <w:rsid w:val="00C55218"/>
    <w:rsid w:val="00C61FCF"/>
    <w:rsid w:val="00C67D84"/>
    <w:rsid w:val="00C71743"/>
    <w:rsid w:val="00C779B3"/>
    <w:rsid w:val="00C77E96"/>
    <w:rsid w:val="00CA1BBD"/>
    <w:rsid w:val="00CC1288"/>
    <w:rsid w:val="00CC381A"/>
    <w:rsid w:val="00CC4172"/>
    <w:rsid w:val="00CC79EC"/>
    <w:rsid w:val="00CD1123"/>
    <w:rsid w:val="00CE488D"/>
    <w:rsid w:val="00CE5DB9"/>
    <w:rsid w:val="00CF32B7"/>
    <w:rsid w:val="00D03E17"/>
    <w:rsid w:val="00D04063"/>
    <w:rsid w:val="00D16904"/>
    <w:rsid w:val="00D27D18"/>
    <w:rsid w:val="00D44489"/>
    <w:rsid w:val="00D6365C"/>
    <w:rsid w:val="00D670FC"/>
    <w:rsid w:val="00D737F1"/>
    <w:rsid w:val="00D81D00"/>
    <w:rsid w:val="00D81D2A"/>
    <w:rsid w:val="00D84484"/>
    <w:rsid w:val="00D90AA3"/>
    <w:rsid w:val="00DB29EF"/>
    <w:rsid w:val="00DB6290"/>
    <w:rsid w:val="00DC2417"/>
    <w:rsid w:val="00DC279A"/>
    <w:rsid w:val="00DC62DF"/>
    <w:rsid w:val="00DF3BE3"/>
    <w:rsid w:val="00E01A2F"/>
    <w:rsid w:val="00E1024E"/>
    <w:rsid w:val="00E26B5C"/>
    <w:rsid w:val="00E40B65"/>
    <w:rsid w:val="00E45EEB"/>
    <w:rsid w:val="00E5788E"/>
    <w:rsid w:val="00E60502"/>
    <w:rsid w:val="00E61BAB"/>
    <w:rsid w:val="00E77354"/>
    <w:rsid w:val="00E7780A"/>
    <w:rsid w:val="00E805B8"/>
    <w:rsid w:val="00EB11D6"/>
    <w:rsid w:val="00EB2139"/>
    <w:rsid w:val="00EC26B1"/>
    <w:rsid w:val="00ED0D59"/>
    <w:rsid w:val="00ED10E0"/>
    <w:rsid w:val="00EE387B"/>
    <w:rsid w:val="00EE650A"/>
    <w:rsid w:val="00EF53DA"/>
    <w:rsid w:val="00EF5960"/>
    <w:rsid w:val="00EF6DDC"/>
    <w:rsid w:val="00F17DF7"/>
    <w:rsid w:val="00F24448"/>
    <w:rsid w:val="00F363DA"/>
    <w:rsid w:val="00F615BE"/>
    <w:rsid w:val="00F71012"/>
    <w:rsid w:val="00F77D9A"/>
    <w:rsid w:val="00F94EF8"/>
    <w:rsid w:val="00FA3945"/>
    <w:rsid w:val="00FA7129"/>
    <w:rsid w:val="00FE1E05"/>
    <w:rsid w:val="00FE67D1"/>
    <w:rsid w:val="00FF0EBA"/>
    <w:rsid w:val="00FF5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62979-E345-4962-A79B-2FF59A087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36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65C"/>
  </w:style>
  <w:style w:type="paragraph" w:styleId="NormalWeb">
    <w:name w:val="Normal (Web)"/>
    <w:basedOn w:val="Normal"/>
    <w:uiPriority w:val="99"/>
    <w:semiHidden/>
    <w:unhideWhenUsed/>
    <w:rsid w:val="00D6365C"/>
    <w:rPr>
      <w:rFonts w:ascii="Times New Roman" w:hAnsi="Times New Roman" w:cs="Times New Roman"/>
      <w:sz w:val="24"/>
      <w:szCs w:val="24"/>
    </w:rPr>
  </w:style>
  <w:style w:type="paragraph" w:styleId="Textonotapie">
    <w:name w:val="footnote text"/>
    <w:aliases w:val="Footnote Text Char"/>
    <w:basedOn w:val="Normal"/>
    <w:link w:val="TextonotapieCar"/>
    <w:uiPriority w:val="99"/>
    <w:unhideWhenUsed/>
    <w:rsid w:val="00D6365C"/>
    <w:pPr>
      <w:spacing w:after="0" w:line="240" w:lineRule="auto"/>
    </w:pPr>
    <w:rPr>
      <w:sz w:val="20"/>
      <w:szCs w:val="20"/>
    </w:rPr>
  </w:style>
  <w:style w:type="character" w:customStyle="1" w:styleId="TextonotapieCar">
    <w:name w:val="Texto nota pie Car"/>
    <w:aliases w:val="Footnote Text Char Car"/>
    <w:basedOn w:val="Fuentedeprrafopredeter"/>
    <w:link w:val="Textonotapie"/>
    <w:uiPriority w:val="99"/>
    <w:rsid w:val="00D6365C"/>
    <w:rPr>
      <w:sz w:val="20"/>
      <w:szCs w:val="20"/>
    </w:rPr>
  </w:style>
  <w:style w:type="character" w:styleId="Refdenotaalpie">
    <w:name w:val="footnote reference"/>
    <w:basedOn w:val="Fuentedeprrafopredeter"/>
    <w:uiPriority w:val="99"/>
    <w:semiHidden/>
    <w:unhideWhenUsed/>
    <w:rsid w:val="00D6365C"/>
    <w:rPr>
      <w:vertAlign w:val="superscript"/>
    </w:rPr>
  </w:style>
  <w:style w:type="character" w:styleId="Refdecomentario">
    <w:name w:val="annotation reference"/>
    <w:basedOn w:val="Fuentedeprrafopredeter"/>
    <w:uiPriority w:val="99"/>
    <w:semiHidden/>
    <w:unhideWhenUsed/>
    <w:rsid w:val="00D6365C"/>
    <w:rPr>
      <w:sz w:val="16"/>
      <w:szCs w:val="16"/>
    </w:rPr>
  </w:style>
  <w:style w:type="paragraph" w:styleId="Textocomentario">
    <w:name w:val="annotation text"/>
    <w:basedOn w:val="Normal"/>
    <w:link w:val="TextocomentarioCar"/>
    <w:uiPriority w:val="99"/>
    <w:semiHidden/>
    <w:unhideWhenUsed/>
    <w:rsid w:val="00D6365C"/>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D6365C"/>
    <w:rPr>
      <w:sz w:val="20"/>
      <w:szCs w:val="20"/>
    </w:rPr>
  </w:style>
  <w:style w:type="paragraph" w:styleId="Textodeglobo">
    <w:name w:val="Balloon Text"/>
    <w:basedOn w:val="Normal"/>
    <w:link w:val="TextodegloboCar"/>
    <w:uiPriority w:val="99"/>
    <w:semiHidden/>
    <w:unhideWhenUsed/>
    <w:rsid w:val="00D636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65C"/>
    <w:rPr>
      <w:rFonts w:ascii="Segoe UI" w:hAnsi="Segoe UI" w:cs="Segoe UI"/>
      <w:sz w:val="18"/>
      <w:szCs w:val="18"/>
    </w:rPr>
  </w:style>
  <w:style w:type="paragraph" w:styleId="Prrafodelista">
    <w:name w:val="List Paragraph"/>
    <w:aliases w:val="Párrafo de lista numerado,List Paragraph"/>
    <w:basedOn w:val="Normal"/>
    <w:link w:val="PrrafodelistaCar"/>
    <w:uiPriority w:val="34"/>
    <w:qFormat/>
    <w:rsid w:val="000461F2"/>
    <w:pPr>
      <w:ind w:left="720"/>
      <w:contextualSpacing/>
    </w:pPr>
  </w:style>
  <w:style w:type="paragraph" w:styleId="TDC2">
    <w:name w:val="toc 2"/>
    <w:basedOn w:val="Normal"/>
    <w:next w:val="Normal"/>
    <w:autoRedefine/>
    <w:uiPriority w:val="39"/>
    <w:rsid w:val="00FE67D1"/>
    <w:pPr>
      <w:widowControl w:val="0"/>
      <w:tabs>
        <w:tab w:val="left" w:pos="851"/>
        <w:tab w:val="right" w:leader="dot" w:pos="9060"/>
      </w:tabs>
      <w:suppressAutoHyphens/>
      <w:spacing w:before="120" w:after="0" w:line="240" w:lineRule="auto"/>
      <w:ind w:left="425"/>
    </w:pPr>
    <w:rPr>
      <w:rFonts w:ascii="Franklin Gothic Book" w:eastAsia="Times New Roman" w:hAnsi="Franklin Gothic Book" w:cs="Mangal"/>
      <w:b/>
      <w:caps/>
      <w:kern w:val="20"/>
      <w:sz w:val="20"/>
      <w:lang w:val="es-AR" w:eastAsia="es-ES"/>
    </w:rPr>
  </w:style>
  <w:style w:type="paragraph" w:styleId="Descripcin">
    <w:name w:val="caption"/>
    <w:aliases w:val="Car"/>
    <w:basedOn w:val="Normal"/>
    <w:next w:val="Normal"/>
    <w:link w:val="DescripcinCar"/>
    <w:unhideWhenUsed/>
    <w:qFormat/>
    <w:rsid w:val="00ED10E0"/>
    <w:pPr>
      <w:spacing w:after="200" w:line="240" w:lineRule="auto"/>
      <w:jc w:val="right"/>
    </w:pPr>
    <w:rPr>
      <w:rFonts w:ascii="Arial Narrow" w:hAnsi="Arial Narrow"/>
      <w:b/>
      <w:bCs/>
      <w:szCs w:val="18"/>
    </w:rPr>
  </w:style>
  <w:style w:type="character" w:styleId="Textodelmarcadordeposicin">
    <w:name w:val="Placeholder Text"/>
    <w:basedOn w:val="Fuentedeprrafopredeter"/>
    <w:uiPriority w:val="99"/>
    <w:semiHidden/>
    <w:rsid w:val="00A74C5C"/>
    <w:rPr>
      <w:color w:val="808080"/>
    </w:rPr>
  </w:style>
  <w:style w:type="paragraph" w:styleId="Asuntodelcomentario">
    <w:name w:val="annotation subject"/>
    <w:basedOn w:val="Textocomentario"/>
    <w:next w:val="Textocomentario"/>
    <w:link w:val="AsuntodelcomentarioCar"/>
    <w:uiPriority w:val="99"/>
    <w:semiHidden/>
    <w:unhideWhenUsed/>
    <w:rsid w:val="00AD5D50"/>
    <w:pPr>
      <w:spacing w:after="160"/>
    </w:pPr>
    <w:rPr>
      <w:b/>
      <w:bCs/>
    </w:rPr>
  </w:style>
  <w:style w:type="character" w:customStyle="1" w:styleId="AsuntodelcomentarioCar">
    <w:name w:val="Asunto del comentario Car"/>
    <w:basedOn w:val="TextocomentarioCar"/>
    <w:link w:val="Asuntodelcomentario"/>
    <w:uiPriority w:val="99"/>
    <w:semiHidden/>
    <w:rsid w:val="00AD5D50"/>
    <w:rPr>
      <w:b/>
      <w:bCs/>
      <w:sz w:val="20"/>
      <w:szCs w:val="20"/>
    </w:rPr>
  </w:style>
  <w:style w:type="character" w:customStyle="1" w:styleId="PrrafodelistaCar">
    <w:name w:val="Párrafo de lista Car"/>
    <w:aliases w:val="Párrafo de lista numerado Car,List Paragraph Car"/>
    <w:link w:val="Prrafodelista"/>
    <w:uiPriority w:val="34"/>
    <w:rsid w:val="00182992"/>
  </w:style>
  <w:style w:type="character" w:customStyle="1" w:styleId="DescripcinCar">
    <w:name w:val="Descripción Car"/>
    <w:aliases w:val="Car Car"/>
    <w:link w:val="Descripcin"/>
    <w:locked/>
    <w:rsid w:val="00097545"/>
    <w:rPr>
      <w:rFonts w:ascii="Arial Narrow" w:hAnsi="Arial Narrow"/>
      <w:b/>
      <w:bCs/>
      <w:szCs w:val="18"/>
    </w:rPr>
  </w:style>
  <w:style w:type="table" w:customStyle="1" w:styleId="Tabladelista3-nfasis51">
    <w:name w:val="Tabla de lista 3 - Énfasis 51"/>
    <w:basedOn w:val="Tablanormal"/>
    <w:uiPriority w:val="48"/>
    <w:rsid w:val="00522ACC"/>
    <w:pPr>
      <w:spacing w:after="0" w:line="240" w:lineRule="auto"/>
    </w:pPr>
    <w:rPr>
      <w:rFonts w:ascii="Calibri" w:eastAsia="Calibri" w:hAnsi="Calibri" w:cs="Times New Roman"/>
      <w:sz w:val="20"/>
      <w:szCs w:val="20"/>
      <w:lang w:val="es-AR" w:eastAsia="es-AR"/>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styleId="Hipervnculo">
    <w:name w:val="Hyperlink"/>
    <w:basedOn w:val="Fuentedeprrafopredeter"/>
    <w:uiPriority w:val="99"/>
    <w:unhideWhenUsed/>
    <w:rsid w:val="0096062C"/>
    <w:rPr>
      <w:color w:val="0000FF" w:themeColor="hyperlink"/>
      <w:u w:val="single"/>
    </w:rPr>
  </w:style>
  <w:style w:type="paragraph" w:styleId="Revisin">
    <w:name w:val="Revision"/>
    <w:hidden/>
    <w:uiPriority w:val="99"/>
    <w:semiHidden/>
    <w:rsid w:val="001633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09306">
      <w:bodyDiv w:val="1"/>
      <w:marLeft w:val="0"/>
      <w:marRight w:val="0"/>
      <w:marTop w:val="0"/>
      <w:marBottom w:val="0"/>
      <w:divBdr>
        <w:top w:val="none" w:sz="0" w:space="0" w:color="auto"/>
        <w:left w:val="none" w:sz="0" w:space="0" w:color="auto"/>
        <w:bottom w:val="none" w:sz="0" w:space="0" w:color="auto"/>
        <w:right w:val="none" w:sz="0" w:space="0" w:color="auto"/>
      </w:divBdr>
    </w:div>
    <w:div w:id="71240368">
      <w:bodyDiv w:val="1"/>
      <w:marLeft w:val="0"/>
      <w:marRight w:val="0"/>
      <w:marTop w:val="0"/>
      <w:marBottom w:val="0"/>
      <w:divBdr>
        <w:top w:val="none" w:sz="0" w:space="0" w:color="auto"/>
        <w:left w:val="none" w:sz="0" w:space="0" w:color="auto"/>
        <w:bottom w:val="none" w:sz="0" w:space="0" w:color="auto"/>
        <w:right w:val="none" w:sz="0" w:space="0" w:color="auto"/>
      </w:divBdr>
      <w:divsChild>
        <w:div w:id="890338316">
          <w:marLeft w:val="720"/>
          <w:marRight w:val="0"/>
          <w:marTop w:val="0"/>
          <w:marBottom w:val="285"/>
          <w:divBdr>
            <w:top w:val="none" w:sz="0" w:space="0" w:color="auto"/>
            <w:left w:val="none" w:sz="0" w:space="0" w:color="auto"/>
            <w:bottom w:val="none" w:sz="0" w:space="0" w:color="auto"/>
            <w:right w:val="none" w:sz="0" w:space="0" w:color="auto"/>
          </w:divBdr>
        </w:div>
      </w:divsChild>
    </w:div>
    <w:div w:id="99838590">
      <w:bodyDiv w:val="1"/>
      <w:marLeft w:val="0"/>
      <w:marRight w:val="0"/>
      <w:marTop w:val="0"/>
      <w:marBottom w:val="0"/>
      <w:divBdr>
        <w:top w:val="none" w:sz="0" w:space="0" w:color="auto"/>
        <w:left w:val="none" w:sz="0" w:space="0" w:color="auto"/>
        <w:bottom w:val="none" w:sz="0" w:space="0" w:color="auto"/>
        <w:right w:val="none" w:sz="0" w:space="0" w:color="auto"/>
      </w:divBdr>
    </w:div>
    <w:div w:id="105776733">
      <w:bodyDiv w:val="1"/>
      <w:marLeft w:val="0"/>
      <w:marRight w:val="0"/>
      <w:marTop w:val="0"/>
      <w:marBottom w:val="0"/>
      <w:divBdr>
        <w:top w:val="none" w:sz="0" w:space="0" w:color="auto"/>
        <w:left w:val="none" w:sz="0" w:space="0" w:color="auto"/>
        <w:bottom w:val="none" w:sz="0" w:space="0" w:color="auto"/>
        <w:right w:val="none" w:sz="0" w:space="0" w:color="auto"/>
      </w:divBdr>
    </w:div>
    <w:div w:id="150870523">
      <w:bodyDiv w:val="1"/>
      <w:marLeft w:val="0"/>
      <w:marRight w:val="0"/>
      <w:marTop w:val="0"/>
      <w:marBottom w:val="0"/>
      <w:divBdr>
        <w:top w:val="none" w:sz="0" w:space="0" w:color="auto"/>
        <w:left w:val="none" w:sz="0" w:space="0" w:color="auto"/>
        <w:bottom w:val="none" w:sz="0" w:space="0" w:color="auto"/>
        <w:right w:val="none" w:sz="0" w:space="0" w:color="auto"/>
      </w:divBdr>
    </w:div>
    <w:div w:id="180554946">
      <w:bodyDiv w:val="1"/>
      <w:marLeft w:val="0"/>
      <w:marRight w:val="0"/>
      <w:marTop w:val="0"/>
      <w:marBottom w:val="0"/>
      <w:divBdr>
        <w:top w:val="none" w:sz="0" w:space="0" w:color="auto"/>
        <w:left w:val="none" w:sz="0" w:space="0" w:color="auto"/>
        <w:bottom w:val="none" w:sz="0" w:space="0" w:color="auto"/>
        <w:right w:val="none" w:sz="0" w:space="0" w:color="auto"/>
      </w:divBdr>
    </w:div>
    <w:div w:id="207886429">
      <w:bodyDiv w:val="1"/>
      <w:marLeft w:val="0"/>
      <w:marRight w:val="0"/>
      <w:marTop w:val="0"/>
      <w:marBottom w:val="0"/>
      <w:divBdr>
        <w:top w:val="none" w:sz="0" w:space="0" w:color="auto"/>
        <w:left w:val="none" w:sz="0" w:space="0" w:color="auto"/>
        <w:bottom w:val="none" w:sz="0" w:space="0" w:color="auto"/>
        <w:right w:val="none" w:sz="0" w:space="0" w:color="auto"/>
      </w:divBdr>
    </w:div>
    <w:div w:id="245770344">
      <w:bodyDiv w:val="1"/>
      <w:marLeft w:val="0"/>
      <w:marRight w:val="0"/>
      <w:marTop w:val="0"/>
      <w:marBottom w:val="0"/>
      <w:divBdr>
        <w:top w:val="none" w:sz="0" w:space="0" w:color="auto"/>
        <w:left w:val="none" w:sz="0" w:space="0" w:color="auto"/>
        <w:bottom w:val="none" w:sz="0" w:space="0" w:color="auto"/>
        <w:right w:val="none" w:sz="0" w:space="0" w:color="auto"/>
      </w:divBdr>
    </w:div>
    <w:div w:id="267155331">
      <w:bodyDiv w:val="1"/>
      <w:marLeft w:val="0"/>
      <w:marRight w:val="0"/>
      <w:marTop w:val="0"/>
      <w:marBottom w:val="0"/>
      <w:divBdr>
        <w:top w:val="none" w:sz="0" w:space="0" w:color="auto"/>
        <w:left w:val="none" w:sz="0" w:space="0" w:color="auto"/>
        <w:bottom w:val="none" w:sz="0" w:space="0" w:color="auto"/>
        <w:right w:val="none" w:sz="0" w:space="0" w:color="auto"/>
      </w:divBdr>
      <w:divsChild>
        <w:div w:id="1668630752">
          <w:marLeft w:val="547"/>
          <w:marRight w:val="0"/>
          <w:marTop w:val="0"/>
          <w:marBottom w:val="285"/>
          <w:divBdr>
            <w:top w:val="none" w:sz="0" w:space="0" w:color="auto"/>
            <w:left w:val="none" w:sz="0" w:space="0" w:color="auto"/>
            <w:bottom w:val="none" w:sz="0" w:space="0" w:color="auto"/>
            <w:right w:val="none" w:sz="0" w:space="0" w:color="auto"/>
          </w:divBdr>
        </w:div>
        <w:div w:id="449863035">
          <w:marLeft w:val="547"/>
          <w:marRight w:val="0"/>
          <w:marTop w:val="0"/>
          <w:marBottom w:val="285"/>
          <w:divBdr>
            <w:top w:val="none" w:sz="0" w:space="0" w:color="auto"/>
            <w:left w:val="none" w:sz="0" w:space="0" w:color="auto"/>
            <w:bottom w:val="none" w:sz="0" w:space="0" w:color="auto"/>
            <w:right w:val="none" w:sz="0" w:space="0" w:color="auto"/>
          </w:divBdr>
        </w:div>
        <w:div w:id="1795949852">
          <w:marLeft w:val="547"/>
          <w:marRight w:val="0"/>
          <w:marTop w:val="0"/>
          <w:marBottom w:val="285"/>
          <w:divBdr>
            <w:top w:val="none" w:sz="0" w:space="0" w:color="auto"/>
            <w:left w:val="none" w:sz="0" w:space="0" w:color="auto"/>
            <w:bottom w:val="none" w:sz="0" w:space="0" w:color="auto"/>
            <w:right w:val="none" w:sz="0" w:space="0" w:color="auto"/>
          </w:divBdr>
        </w:div>
      </w:divsChild>
    </w:div>
    <w:div w:id="269047496">
      <w:bodyDiv w:val="1"/>
      <w:marLeft w:val="0"/>
      <w:marRight w:val="0"/>
      <w:marTop w:val="0"/>
      <w:marBottom w:val="0"/>
      <w:divBdr>
        <w:top w:val="none" w:sz="0" w:space="0" w:color="auto"/>
        <w:left w:val="none" w:sz="0" w:space="0" w:color="auto"/>
        <w:bottom w:val="none" w:sz="0" w:space="0" w:color="auto"/>
        <w:right w:val="none" w:sz="0" w:space="0" w:color="auto"/>
      </w:divBdr>
    </w:div>
    <w:div w:id="504175193">
      <w:bodyDiv w:val="1"/>
      <w:marLeft w:val="0"/>
      <w:marRight w:val="0"/>
      <w:marTop w:val="0"/>
      <w:marBottom w:val="0"/>
      <w:divBdr>
        <w:top w:val="none" w:sz="0" w:space="0" w:color="auto"/>
        <w:left w:val="none" w:sz="0" w:space="0" w:color="auto"/>
        <w:bottom w:val="none" w:sz="0" w:space="0" w:color="auto"/>
        <w:right w:val="none" w:sz="0" w:space="0" w:color="auto"/>
      </w:divBdr>
      <w:divsChild>
        <w:div w:id="1118645632">
          <w:marLeft w:val="418"/>
          <w:marRight w:val="0"/>
          <w:marTop w:val="0"/>
          <w:marBottom w:val="0"/>
          <w:divBdr>
            <w:top w:val="none" w:sz="0" w:space="0" w:color="auto"/>
            <w:left w:val="none" w:sz="0" w:space="0" w:color="auto"/>
            <w:bottom w:val="none" w:sz="0" w:space="0" w:color="auto"/>
            <w:right w:val="none" w:sz="0" w:space="0" w:color="auto"/>
          </w:divBdr>
        </w:div>
      </w:divsChild>
    </w:div>
    <w:div w:id="616764396">
      <w:bodyDiv w:val="1"/>
      <w:marLeft w:val="0"/>
      <w:marRight w:val="0"/>
      <w:marTop w:val="0"/>
      <w:marBottom w:val="0"/>
      <w:divBdr>
        <w:top w:val="none" w:sz="0" w:space="0" w:color="auto"/>
        <w:left w:val="none" w:sz="0" w:space="0" w:color="auto"/>
        <w:bottom w:val="none" w:sz="0" w:space="0" w:color="auto"/>
        <w:right w:val="none" w:sz="0" w:space="0" w:color="auto"/>
      </w:divBdr>
    </w:div>
    <w:div w:id="617493623">
      <w:bodyDiv w:val="1"/>
      <w:marLeft w:val="0"/>
      <w:marRight w:val="0"/>
      <w:marTop w:val="0"/>
      <w:marBottom w:val="0"/>
      <w:divBdr>
        <w:top w:val="none" w:sz="0" w:space="0" w:color="auto"/>
        <w:left w:val="none" w:sz="0" w:space="0" w:color="auto"/>
        <w:bottom w:val="none" w:sz="0" w:space="0" w:color="auto"/>
        <w:right w:val="none" w:sz="0" w:space="0" w:color="auto"/>
      </w:divBdr>
    </w:div>
    <w:div w:id="648289615">
      <w:bodyDiv w:val="1"/>
      <w:marLeft w:val="0"/>
      <w:marRight w:val="0"/>
      <w:marTop w:val="0"/>
      <w:marBottom w:val="0"/>
      <w:divBdr>
        <w:top w:val="none" w:sz="0" w:space="0" w:color="auto"/>
        <w:left w:val="none" w:sz="0" w:space="0" w:color="auto"/>
        <w:bottom w:val="none" w:sz="0" w:space="0" w:color="auto"/>
        <w:right w:val="none" w:sz="0" w:space="0" w:color="auto"/>
      </w:divBdr>
    </w:div>
    <w:div w:id="650527970">
      <w:bodyDiv w:val="1"/>
      <w:marLeft w:val="0"/>
      <w:marRight w:val="0"/>
      <w:marTop w:val="0"/>
      <w:marBottom w:val="0"/>
      <w:divBdr>
        <w:top w:val="none" w:sz="0" w:space="0" w:color="auto"/>
        <w:left w:val="none" w:sz="0" w:space="0" w:color="auto"/>
        <w:bottom w:val="none" w:sz="0" w:space="0" w:color="auto"/>
        <w:right w:val="none" w:sz="0" w:space="0" w:color="auto"/>
      </w:divBdr>
    </w:div>
    <w:div w:id="868371919">
      <w:bodyDiv w:val="1"/>
      <w:marLeft w:val="0"/>
      <w:marRight w:val="0"/>
      <w:marTop w:val="0"/>
      <w:marBottom w:val="0"/>
      <w:divBdr>
        <w:top w:val="none" w:sz="0" w:space="0" w:color="auto"/>
        <w:left w:val="none" w:sz="0" w:space="0" w:color="auto"/>
        <w:bottom w:val="none" w:sz="0" w:space="0" w:color="auto"/>
        <w:right w:val="none" w:sz="0" w:space="0" w:color="auto"/>
      </w:divBdr>
      <w:divsChild>
        <w:div w:id="891574035">
          <w:marLeft w:val="720"/>
          <w:marRight w:val="0"/>
          <w:marTop w:val="0"/>
          <w:marBottom w:val="285"/>
          <w:divBdr>
            <w:top w:val="none" w:sz="0" w:space="0" w:color="auto"/>
            <w:left w:val="none" w:sz="0" w:space="0" w:color="auto"/>
            <w:bottom w:val="none" w:sz="0" w:space="0" w:color="auto"/>
            <w:right w:val="none" w:sz="0" w:space="0" w:color="auto"/>
          </w:divBdr>
        </w:div>
        <w:div w:id="1465386189">
          <w:marLeft w:val="720"/>
          <w:marRight w:val="0"/>
          <w:marTop w:val="0"/>
          <w:marBottom w:val="285"/>
          <w:divBdr>
            <w:top w:val="none" w:sz="0" w:space="0" w:color="auto"/>
            <w:left w:val="none" w:sz="0" w:space="0" w:color="auto"/>
            <w:bottom w:val="none" w:sz="0" w:space="0" w:color="auto"/>
            <w:right w:val="none" w:sz="0" w:space="0" w:color="auto"/>
          </w:divBdr>
        </w:div>
      </w:divsChild>
    </w:div>
    <w:div w:id="886723183">
      <w:bodyDiv w:val="1"/>
      <w:marLeft w:val="0"/>
      <w:marRight w:val="0"/>
      <w:marTop w:val="0"/>
      <w:marBottom w:val="0"/>
      <w:divBdr>
        <w:top w:val="none" w:sz="0" w:space="0" w:color="auto"/>
        <w:left w:val="none" w:sz="0" w:space="0" w:color="auto"/>
        <w:bottom w:val="none" w:sz="0" w:space="0" w:color="auto"/>
        <w:right w:val="none" w:sz="0" w:space="0" w:color="auto"/>
      </w:divBdr>
    </w:div>
    <w:div w:id="891498610">
      <w:bodyDiv w:val="1"/>
      <w:marLeft w:val="0"/>
      <w:marRight w:val="0"/>
      <w:marTop w:val="0"/>
      <w:marBottom w:val="0"/>
      <w:divBdr>
        <w:top w:val="none" w:sz="0" w:space="0" w:color="auto"/>
        <w:left w:val="none" w:sz="0" w:space="0" w:color="auto"/>
        <w:bottom w:val="none" w:sz="0" w:space="0" w:color="auto"/>
        <w:right w:val="none" w:sz="0" w:space="0" w:color="auto"/>
      </w:divBdr>
    </w:div>
    <w:div w:id="910701363">
      <w:bodyDiv w:val="1"/>
      <w:marLeft w:val="0"/>
      <w:marRight w:val="0"/>
      <w:marTop w:val="0"/>
      <w:marBottom w:val="0"/>
      <w:divBdr>
        <w:top w:val="none" w:sz="0" w:space="0" w:color="auto"/>
        <w:left w:val="none" w:sz="0" w:space="0" w:color="auto"/>
        <w:bottom w:val="none" w:sz="0" w:space="0" w:color="auto"/>
        <w:right w:val="none" w:sz="0" w:space="0" w:color="auto"/>
      </w:divBdr>
      <w:divsChild>
        <w:div w:id="542866332">
          <w:marLeft w:val="720"/>
          <w:marRight w:val="0"/>
          <w:marTop w:val="0"/>
          <w:marBottom w:val="285"/>
          <w:divBdr>
            <w:top w:val="none" w:sz="0" w:space="0" w:color="auto"/>
            <w:left w:val="none" w:sz="0" w:space="0" w:color="auto"/>
            <w:bottom w:val="none" w:sz="0" w:space="0" w:color="auto"/>
            <w:right w:val="none" w:sz="0" w:space="0" w:color="auto"/>
          </w:divBdr>
        </w:div>
      </w:divsChild>
    </w:div>
    <w:div w:id="930428817">
      <w:bodyDiv w:val="1"/>
      <w:marLeft w:val="0"/>
      <w:marRight w:val="0"/>
      <w:marTop w:val="0"/>
      <w:marBottom w:val="0"/>
      <w:divBdr>
        <w:top w:val="none" w:sz="0" w:space="0" w:color="auto"/>
        <w:left w:val="none" w:sz="0" w:space="0" w:color="auto"/>
        <w:bottom w:val="none" w:sz="0" w:space="0" w:color="auto"/>
        <w:right w:val="none" w:sz="0" w:space="0" w:color="auto"/>
      </w:divBdr>
    </w:div>
    <w:div w:id="949975611">
      <w:bodyDiv w:val="1"/>
      <w:marLeft w:val="0"/>
      <w:marRight w:val="0"/>
      <w:marTop w:val="0"/>
      <w:marBottom w:val="0"/>
      <w:divBdr>
        <w:top w:val="none" w:sz="0" w:space="0" w:color="auto"/>
        <w:left w:val="none" w:sz="0" w:space="0" w:color="auto"/>
        <w:bottom w:val="none" w:sz="0" w:space="0" w:color="auto"/>
        <w:right w:val="none" w:sz="0" w:space="0" w:color="auto"/>
      </w:divBdr>
      <w:divsChild>
        <w:div w:id="467363355">
          <w:marLeft w:val="418"/>
          <w:marRight w:val="0"/>
          <w:marTop w:val="0"/>
          <w:marBottom w:val="0"/>
          <w:divBdr>
            <w:top w:val="none" w:sz="0" w:space="0" w:color="auto"/>
            <w:left w:val="none" w:sz="0" w:space="0" w:color="auto"/>
            <w:bottom w:val="none" w:sz="0" w:space="0" w:color="auto"/>
            <w:right w:val="none" w:sz="0" w:space="0" w:color="auto"/>
          </w:divBdr>
        </w:div>
      </w:divsChild>
    </w:div>
    <w:div w:id="1105534870">
      <w:bodyDiv w:val="1"/>
      <w:marLeft w:val="0"/>
      <w:marRight w:val="0"/>
      <w:marTop w:val="0"/>
      <w:marBottom w:val="0"/>
      <w:divBdr>
        <w:top w:val="none" w:sz="0" w:space="0" w:color="auto"/>
        <w:left w:val="none" w:sz="0" w:space="0" w:color="auto"/>
        <w:bottom w:val="none" w:sz="0" w:space="0" w:color="auto"/>
        <w:right w:val="none" w:sz="0" w:space="0" w:color="auto"/>
      </w:divBdr>
    </w:div>
    <w:div w:id="1216087880">
      <w:bodyDiv w:val="1"/>
      <w:marLeft w:val="0"/>
      <w:marRight w:val="0"/>
      <w:marTop w:val="0"/>
      <w:marBottom w:val="0"/>
      <w:divBdr>
        <w:top w:val="none" w:sz="0" w:space="0" w:color="auto"/>
        <w:left w:val="none" w:sz="0" w:space="0" w:color="auto"/>
        <w:bottom w:val="none" w:sz="0" w:space="0" w:color="auto"/>
        <w:right w:val="none" w:sz="0" w:space="0" w:color="auto"/>
      </w:divBdr>
    </w:div>
    <w:div w:id="1270158881">
      <w:bodyDiv w:val="1"/>
      <w:marLeft w:val="0"/>
      <w:marRight w:val="0"/>
      <w:marTop w:val="0"/>
      <w:marBottom w:val="0"/>
      <w:divBdr>
        <w:top w:val="none" w:sz="0" w:space="0" w:color="auto"/>
        <w:left w:val="none" w:sz="0" w:space="0" w:color="auto"/>
        <w:bottom w:val="none" w:sz="0" w:space="0" w:color="auto"/>
        <w:right w:val="none" w:sz="0" w:space="0" w:color="auto"/>
      </w:divBdr>
    </w:div>
    <w:div w:id="1320496672">
      <w:bodyDiv w:val="1"/>
      <w:marLeft w:val="0"/>
      <w:marRight w:val="0"/>
      <w:marTop w:val="0"/>
      <w:marBottom w:val="0"/>
      <w:divBdr>
        <w:top w:val="none" w:sz="0" w:space="0" w:color="auto"/>
        <w:left w:val="none" w:sz="0" w:space="0" w:color="auto"/>
        <w:bottom w:val="none" w:sz="0" w:space="0" w:color="auto"/>
        <w:right w:val="none" w:sz="0" w:space="0" w:color="auto"/>
      </w:divBdr>
      <w:divsChild>
        <w:div w:id="540870839">
          <w:marLeft w:val="418"/>
          <w:marRight w:val="0"/>
          <w:marTop w:val="0"/>
          <w:marBottom w:val="0"/>
          <w:divBdr>
            <w:top w:val="none" w:sz="0" w:space="0" w:color="auto"/>
            <w:left w:val="none" w:sz="0" w:space="0" w:color="auto"/>
            <w:bottom w:val="none" w:sz="0" w:space="0" w:color="auto"/>
            <w:right w:val="none" w:sz="0" w:space="0" w:color="auto"/>
          </w:divBdr>
        </w:div>
      </w:divsChild>
    </w:div>
    <w:div w:id="1342050100">
      <w:bodyDiv w:val="1"/>
      <w:marLeft w:val="0"/>
      <w:marRight w:val="0"/>
      <w:marTop w:val="0"/>
      <w:marBottom w:val="0"/>
      <w:divBdr>
        <w:top w:val="none" w:sz="0" w:space="0" w:color="auto"/>
        <w:left w:val="none" w:sz="0" w:space="0" w:color="auto"/>
        <w:bottom w:val="none" w:sz="0" w:space="0" w:color="auto"/>
        <w:right w:val="none" w:sz="0" w:space="0" w:color="auto"/>
      </w:divBdr>
    </w:div>
    <w:div w:id="1353609449">
      <w:bodyDiv w:val="1"/>
      <w:marLeft w:val="0"/>
      <w:marRight w:val="0"/>
      <w:marTop w:val="0"/>
      <w:marBottom w:val="0"/>
      <w:divBdr>
        <w:top w:val="none" w:sz="0" w:space="0" w:color="auto"/>
        <w:left w:val="none" w:sz="0" w:space="0" w:color="auto"/>
        <w:bottom w:val="none" w:sz="0" w:space="0" w:color="auto"/>
        <w:right w:val="none" w:sz="0" w:space="0" w:color="auto"/>
      </w:divBdr>
    </w:div>
    <w:div w:id="1374116153">
      <w:bodyDiv w:val="1"/>
      <w:marLeft w:val="0"/>
      <w:marRight w:val="0"/>
      <w:marTop w:val="0"/>
      <w:marBottom w:val="0"/>
      <w:divBdr>
        <w:top w:val="none" w:sz="0" w:space="0" w:color="auto"/>
        <w:left w:val="none" w:sz="0" w:space="0" w:color="auto"/>
        <w:bottom w:val="none" w:sz="0" w:space="0" w:color="auto"/>
        <w:right w:val="none" w:sz="0" w:space="0" w:color="auto"/>
      </w:divBdr>
    </w:div>
    <w:div w:id="1406486764">
      <w:bodyDiv w:val="1"/>
      <w:marLeft w:val="0"/>
      <w:marRight w:val="0"/>
      <w:marTop w:val="0"/>
      <w:marBottom w:val="0"/>
      <w:divBdr>
        <w:top w:val="none" w:sz="0" w:space="0" w:color="auto"/>
        <w:left w:val="none" w:sz="0" w:space="0" w:color="auto"/>
        <w:bottom w:val="none" w:sz="0" w:space="0" w:color="auto"/>
        <w:right w:val="none" w:sz="0" w:space="0" w:color="auto"/>
      </w:divBdr>
      <w:divsChild>
        <w:div w:id="1231576913">
          <w:marLeft w:val="1166"/>
          <w:marRight w:val="0"/>
          <w:marTop w:val="0"/>
          <w:marBottom w:val="228"/>
          <w:divBdr>
            <w:top w:val="none" w:sz="0" w:space="0" w:color="auto"/>
            <w:left w:val="none" w:sz="0" w:space="0" w:color="auto"/>
            <w:bottom w:val="none" w:sz="0" w:space="0" w:color="auto"/>
            <w:right w:val="none" w:sz="0" w:space="0" w:color="auto"/>
          </w:divBdr>
        </w:div>
      </w:divsChild>
    </w:div>
    <w:div w:id="1428190213">
      <w:bodyDiv w:val="1"/>
      <w:marLeft w:val="0"/>
      <w:marRight w:val="0"/>
      <w:marTop w:val="0"/>
      <w:marBottom w:val="0"/>
      <w:divBdr>
        <w:top w:val="none" w:sz="0" w:space="0" w:color="auto"/>
        <w:left w:val="none" w:sz="0" w:space="0" w:color="auto"/>
        <w:bottom w:val="none" w:sz="0" w:space="0" w:color="auto"/>
        <w:right w:val="none" w:sz="0" w:space="0" w:color="auto"/>
      </w:divBdr>
      <w:divsChild>
        <w:div w:id="1138186318">
          <w:marLeft w:val="1166"/>
          <w:marRight w:val="0"/>
          <w:marTop w:val="0"/>
          <w:marBottom w:val="228"/>
          <w:divBdr>
            <w:top w:val="none" w:sz="0" w:space="0" w:color="auto"/>
            <w:left w:val="none" w:sz="0" w:space="0" w:color="auto"/>
            <w:bottom w:val="none" w:sz="0" w:space="0" w:color="auto"/>
            <w:right w:val="none" w:sz="0" w:space="0" w:color="auto"/>
          </w:divBdr>
        </w:div>
      </w:divsChild>
    </w:div>
    <w:div w:id="1487015860">
      <w:bodyDiv w:val="1"/>
      <w:marLeft w:val="0"/>
      <w:marRight w:val="0"/>
      <w:marTop w:val="0"/>
      <w:marBottom w:val="0"/>
      <w:divBdr>
        <w:top w:val="none" w:sz="0" w:space="0" w:color="auto"/>
        <w:left w:val="none" w:sz="0" w:space="0" w:color="auto"/>
        <w:bottom w:val="none" w:sz="0" w:space="0" w:color="auto"/>
        <w:right w:val="none" w:sz="0" w:space="0" w:color="auto"/>
      </w:divBdr>
    </w:div>
    <w:div w:id="1514146378">
      <w:bodyDiv w:val="1"/>
      <w:marLeft w:val="0"/>
      <w:marRight w:val="0"/>
      <w:marTop w:val="0"/>
      <w:marBottom w:val="0"/>
      <w:divBdr>
        <w:top w:val="none" w:sz="0" w:space="0" w:color="auto"/>
        <w:left w:val="none" w:sz="0" w:space="0" w:color="auto"/>
        <w:bottom w:val="none" w:sz="0" w:space="0" w:color="auto"/>
        <w:right w:val="none" w:sz="0" w:space="0" w:color="auto"/>
      </w:divBdr>
      <w:divsChild>
        <w:div w:id="1953514798">
          <w:marLeft w:val="720"/>
          <w:marRight w:val="0"/>
          <w:marTop w:val="0"/>
          <w:marBottom w:val="285"/>
          <w:divBdr>
            <w:top w:val="none" w:sz="0" w:space="0" w:color="auto"/>
            <w:left w:val="none" w:sz="0" w:space="0" w:color="auto"/>
            <w:bottom w:val="none" w:sz="0" w:space="0" w:color="auto"/>
            <w:right w:val="none" w:sz="0" w:space="0" w:color="auto"/>
          </w:divBdr>
        </w:div>
        <w:div w:id="538056201">
          <w:marLeft w:val="1166"/>
          <w:marRight w:val="0"/>
          <w:marTop w:val="0"/>
          <w:marBottom w:val="228"/>
          <w:divBdr>
            <w:top w:val="none" w:sz="0" w:space="0" w:color="auto"/>
            <w:left w:val="none" w:sz="0" w:space="0" w:color="auto"/>
            <w:bottom w:val="none" w:sz="0" w:space="0" w:color="auto"/>
            <w:right w:val="none" w:sz="0" w:space="0" w:color="auto"/>
          </w:divBdr>
        </w:div>
      </w:divsChild>
    </w:div>
    <w:div w:id="1548033794">
      <w:bodyDiv w:val="1"/>
      <w:marLeft w:val="0"/>
      <w:marRight w:val="0"/>
      <w:marTop w:val="0"/>
      <w:marBottom w:val="0"/>
      <w:divBdr>
        <w:top w:val="none" w:sz="0" w:space="0" w:color="auto"/>
        <w:left w:val="none" w:sz="0" w:space="0" w:color="auto"/>
        <w:bottom w:val="none" w:sz="0" w:space="0" w:color="auto"/>
        <w:right w:val="none" w:sz="0" w:space="0" w:color="auto"/>
      </w:divBdr>
      <w:divsChild>
        <w:div w:id="115298452">
          <w:marLeft w:val="1166"/>
          <w:marRight w:val="0"/>
          <w:marTop w:val="0"/>
          <w:marBottom w:val="228"/>
          <w:divBdr>
            <w:top w:val="none" w:sz="0" w:space="0" w:color="auto"/>
            <w:left w:val="none" w:sz="0" w:space="0" w:color="auto"/>
            <w:bottom w:val="none" w:sz="0" w:space="0" w:color="auto"/>
            <w:right w:val="none" w:sz="0" w:space="0" w:color="auto"/>
          </w:divBdr>
        </w:div>
      </w:divsChild>
    </w:div>
    <w:div w:id="1638874538">
      <w:bodyDiv w:val="1"/>
      <w:marLeft w:val="0"/>
      <w:marRight w:val="0"/>
      <w:marTop w:val="0"/>
      <w:marBottom w:val="0"/>
      <w:divBdr>
        <w:top w:val="none" w:sz="0" w:space="0" w:color="auto"/>
        <w:left w:val="none" w:sz="0" w:space="0" w:color="auto"/>
        <w:bottom w:val="none" w:sz="0" w:space="0" w:color="auto"/>
        <w:right w:val="none" w:sz="0" w:space="0" w:color="auto"/>
      </w:divBdr>
      <w:divsChild>
        <w:div w:id="1081950682">
          <w:marLeft w:val="547"/>
          <w:marRight w:val="0"/>
          <w:marTop w:val="0"/>
          <w:marBottom w:val="285"/>
          <w:divBdr>
            <w:top w:val="none" w:sz="0" w:space="0" w:color="auto"/>
            <w:left w:val="none" w:sz="0" w:space="0" w:color="auto"/>
            <w:bottom w:val="none" w:sz="0" w:space="0" w:color="auto"/>
            <w:right w:val="none" w:sz="0" w:space="0" w:color="auto"/>
          </w:divBdr>
        </w:div>
        <w:div w:id="1218276190">
          <w:marLeft w:val="547"/>
          <w:marRight w:val="0"/>
          <w:marTop w:val="0"/>
          <w:marBottom w:val="285"/>
          <w:divBdr>
            <w:top w:val="none" w:sz="0" w:space="0" w:color="auto"/>
            <w:left w:val="none" w:sz="0" w:space="0" w:color="auto"/>
            <w:bottom w:val="none" w:sz="0" w:space="0" w:color="auto"/>
            <w:right w:val="none" w:sz="0" w:space="0" w:color="auto"/>
          </w:divBdr>
        </w:div>
        <w:div w:id="153112190">
          <w:marLeft w:val="547"/>
          <w:marRight w:val="0"/>
          <w:marTop w:val="0"/>
          <w:marBottom w:val="285"/>
          <w:divBdr>
            <w:top w:val="none" w:sz="0" w:space="0" w:color="auto"/>
            <w:left w:val="none" w:sz="0" w:space="0" w:color="auto"/>
            <w:bottom w:val="none" w:sz="0" w:space="0" w:color="auto"/>
            <w:right w:val="none" w:sz="0" w:space="0" w:color="auto"/>
          </w:divBdr>
        </w:div>
      </w:divsChild>
    </w:div>
    <w:div w:id="1691107078">
      <w:bodyDiv w:val="1"/>
      <w:marLeft w:val="0"/>
      <w:marRight w:val="0"/>
      <w:marTop w:val="0"/>
      <w:marBottom w:val="0"/>
      <w:divBdr>
        <w:top w:val="none" w:sz="0" w:space="0" w:color="auto"/>
        <w:left w:val="none" w:sz="0" w:space="0" w:color="auto"/>
        <w:bottom w:val="none" w:sz="0" w:space="0" w:color="auto"/>
        <w:right w:val="none" w:sz="0" w:space="0" w:color="auto"/>
      </w:divBdr>
    </w:div>
    <w:div w:id="1802191367">
      <w:bodyDiv w:val="1"/>
      <w:marLeft w:val="0"/>
      <w:marRight w:val="0"/>
      <w:marTop w:val="0"/>
      <w:marBottom w:val="0"/>
      <w:divBdr>
        <w:top w:val="none" w:sz="0" w:space="0" w:color="auto"/>
        <w:left w:val="none" w:sz="0" w:space="0" w:color="auto"/>
        <w:bottom w:val="none" w:sz="0" w:space="0" w:color="auto"/>
        <w:right w:val="none" w:sz="0" w:space="0" w:color="auto"/>
      </w:divBdr>
    </w:div>
    <w:div w:id="1871986748">
      <w:bodyDiv w:val="1"/>
      <w:marLeft w:val="0"/>
      <w:marRight w:val="0"/>
      <w:marTop w:val="0"/>
      <w:marBottom w:val="0"/>
      <w:divBdr>
        <w:top w:val="none" w:sz="0" w:space="0" w:color="auto"/>
        <w:left w:val="none" w:sz="0" w:space="0" w:color="auto"/>
        <w:bottom w:val="none" w:sz="0" w:space="0" w:color="auto"/>
        <w:right w:val="none" w:sz="0" w:space="0" w:color="auto"/>
      </w:divBdr>
    </w:div>
    <w:div w:id="1890723257">
      <w:bodyDiv w:val="1"/>
      <w:marLeft w:val="0"/>
      <w:marRight w:val="0"/>
      <w:marTop w:val="0"/>
      <w:marBottom w:val="0"/>
      <w:divBdr>
        <w:top w:val="none" w:sz="0" w:space="0" w:color="auto"/>
        <w:left w:val="none" w:sz="0" w:space="0" w:color="auto"/>
        <w:bottom w:val="none" w:sz="0" w:space="0" w:color="auto"/>
        <w:right w:val="none" w:sz="0" w:space="0" w:color="auto"/>
      </w:divBdr>
    </w:div>
    <w:div w:id="1946616653">
      <w:bodyDiv w:val="1"/>
      <w:marLeft w:val="0"/>
      <w:marRight w:val="0"/>
      <w:marTop w:val="0"/>
      <w:marBottom w:val="0"/>
      <w:divBdr>
        <w:top w:val="none" w:sz="0" w:space="0" w:color="auto"/>
        <w:left w:val="none" w:sz="0" w:space="0" w:color="auto"/>
        <w:bottom w:val="none" w:sz="0" w:space="0" w:color="auto"/>
        <w:right w:val="none" w:sz="0" w:space="0" w:color="auto"/>
      </w:divBdr>
    </w:div>
    <w:div w:id="2013944401">
      <w:bodyDiv w:val="1"/>
      <w:marLeft w:val="0"/>
      <w:marRight w:val="0"/>
      <w:marTop w:val="0"/>
      <w:marBottom w:val="0"/>
      <w:divBdr>
        <w:top w:val="none" w:sz="0" w:space="0" w:color="auto"/>
        <w:left w:val="none" w:sz="0" w:space="0" w:color="auto"/>
        <w:bottom w:val="none" w:sz="0" w:space="0" w:color="auto"/>
        <w:right w:val="none" w:sz="0" w:space="0" w:color="auto"/>
      </w:divBdr>
      <w:divsChild>
        <w:div w:id="120658636">
          <w:marLeft w:val="547"/>
          <w:marRight w:val="0"/>
          <w:marTop w:val="0"/>
          <w:marBottom w:val="285"/>
          <w:divBdr>
            <w:top w:val="none" w:sz="0" w:space="0" w:color="auto"/>
            <w:left w:val="none" w:sz="0" w:space="0" w:color="auto"/>
            <w:bottom w:val="none" w:sz="0" w:space="0" w:color="auto"/>
            <w:right w:val="none" w:sz="0" w:space="0" w:color="auto"/>
          </w:divBdr>
        </w:div>
        <w:div w:id="16928639">
          <w:marLeft w:val="446"/>
          <w:marRight w:val="0"/>
          <w:marTop w:val="0"/>
          <w:marBottom w:val="285"/>
          <w:divBdr>
            <w:top w:val="none" w:sz="0" w:space="0" w:color="auto"/>
            <w:left w:val="none" w:sz="0" w:space="0" w:color="auto"/>
            <w:bottom w:val="none" w:sz="0" w:space="0" w:color="auto"/>
            <w:right w:val="none" w:sz="0" w:space="0" w:color="auto"/>
          </w:divBdr>
        </w:div>
        <w:div w:id="2041709287">
          <w:marLeft w:val="446"/>
          <w:marRight w:val="0"/>
          <w:marTop w:val="0"/>
          <w:marBottom w:val="285"/>
          <w:divBdr>
            <w:top w:val="none" w:sz="0" w:space="0" w:color="auto"/>
            <w:left w:val="none" w:sz="0" w:space="0" w:color="auto"/>
            <w:bottom w:val="none" w:sz="0" w:space="0" w:color="auto"/>
            <w:right w:val="none" w:sz="0" w:space="0" w:color="auto"/>
          </w:divBdr>
        </w:div>
        <w:div w:id="1290433261">
          <w:marLeft w:val="446"/>
          <w:marRight w:val="0"/>
          <w:marTop w:val="0"/>
          <w:marBottom w:val="285"/>
          <w:divBdr>
            <w:top w:val="none" w:sz="0" w:space="0" w:color="auto"/>
            <w:left w:val="none" w:sz="0" w:space="0" w:color="auto"/>
            <w:bottom w:val="none" w:sz="0" w:space="0" w:color="auto"/>
            <w:right w:val="none" w:sz="0" w:space="0" w:color="auto"/>
          </w:divBdr>
        </w:div>
        <w:div w:id="1445425099">
          <w:marLeft w:val="446"/>
          <w:marRight w:val="0"/>
          <w:marTop w:val="0"/>
          <w:marBottom w:val="285"/>
          <w:divBdr>
            <w:top w:val="none" w:sz="0" w:space="0" w:color="auto"/>
            <w:left w:val="none" w:sz="0" w:space="0" w:color="auto"/>
            <w:bottom w:val="none" w:sz="0" w:space="0" w:color="auto"/>
            <w:right w:val="none" w:sz="0" w:space="0" w:color="auto"/>
          </w:divBdr>
        </w:div>
      </w:divsChild>
    </w:div>
    <w:div w:id="2026860172">
      <w:bodyDiv w:val="1"/>
      <w:marLeft w:val="0"/>
      <w:marRight w:val="0"/>
      <w:marTop w:val="0"/>
      <w:marBottom w:val="0"/>
      <w:divBdr>
        <w:top w:val="none" w:sz="0" w:space="0" w:color="auto"/>
        <w:left w:val="none" w:sz="0" w:space="0" w:color="auto"/>
        <w:bottom w:val="none" w:sz="0" w:space="0" w:color="auto"/>
        <w:right w:val="none" w:sz="0" w:space="0" w:color="auto"/>
      </w:divBdr>
    </w:div>
    <w:div w:id="2031445917">
      <w:bodyDiv w:val="1"/>
      <w:marLeft w:val="0"/>
      <w:marRight w:val="0"/>
      <w:marTop w:val="0"/>
      <w:marBottom w:val="0"/>
      <w:divBdr>
        <w:top w:val="none" w:sz="0" w:space="0" w:color="auto"/>
        <w:left w:val="none" w:sz="0" w:space="0" w:color="auto"/>
        <w:bottom w:val="none" w:sz="0" w:space="0" w:color="auto"/>
        <w:right w:val="none" w:sz="0" w:space="0" w:color="auto"/>
      </w:divBdr>
    </w:div>
    <w:div w:id="2068650539">
      <w:bodyDiv w:val="1"/>
      <w:marLeft w:val="0"/>
      <w:marRight w:val="0"/>
      <w:marTop w:val="0"/>
      <w:marBottom w:val="0"/>
      <w:divBdr>
        <w:top w:val="none" w:sz="0" w:space="0" w:color="auto"/>
        <w:left w:val="none" w:sz="0" w:space="0" w:color="auto"/>
        <w:bottom w:val="none" w:sz="0" w:space="0" w:color="auto"/>
        <w:right w:val="none" w:sz="0" w:space="0" w:color="auto"/>
      </w:divBdr>
      <w:divsChild>
        <w:div w:id="637804509">
          <w:marLeft w:val="720"/>
          <w:marRight w:val="0"/>
          <w:marTop w:val="0"/>
          <w:marBottom w:val="285"/>
          <w:divBdr>
            <w:top w:val="none" w:sz="0" w:space="0" w:color="auto"/>
            <w:left w:val="none" w:sz="0" w:space="0" w:color="auto"/>
            <w:bottom w:val="none" w:sz="0" w:space="0" w:color="auto"/>
            <w:right w:val="none" w:sz="0" w:space="0" w:color="auto"/>
          </w:divBdr>
        </w:div>
      </w:divsChild>
    </w:div>
    <w:div w:id="210868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Hoja_de_c_lculo_de_Microsoft_Excel1.xlsx"/></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736814439802667"/>
          <c:y val="4.9716928253343069E-2"/>
          <c:w val="0.69675819592148869"/>
          <c:h val="0.6210392572535125"/>
        </c:manualLayout>
      </c:layout>
      <c:barChart>
        <c:barDir val="col"/>
        <c:grouping val="clustered"/>
        <c:varyColors val="0"/>
        <c:ser>
          <c:idx val="0"/>
          <c:order val="0"/>
          <c:tx>
            <c:strRef>
              <c:f>'Resumen OPEX'!$AD$2</c:f>
              <c:strCache>
                <c:ptCount val="1"/>
                <c:pt idx="0">
                  <c:v>Costos corporativos reales reasignados</c:v>
                </c:pt>
              </c:strCache>
            </c:strRef>
          </c:tx>
          <c:spPr>
            <a:gradFill rotWithShape="1">
              <a:gsLst>
                <a:gs pos="0">
                  <a:schemeClr val="accent1">
                    <a:shade val="65000"/>
                    <a:shade val="51000"/>
                    <a:satMod val="130000"/>
                  </a:schemeClr>
                </a:gs>
                <a:gs pos="80000">
                  <a:schemeClr val="accent1">
                    <a:shade val="65000"/>
                    <a:shade val="93000"/>
                    <a:satMod val="130000"/>
                  </a:schemeClr>
                </a:gs>
                <a:gs pos="100000">
                  <a:schemeClr val="accent1">
                    <a:shade val="65000"/>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'Resumen OPEX'!$J$4:$J$19</c:f>
              <c:strCache>
                <c:ptCount val="16"/>
                <c:pt idx="0">
                  <c:v>BAJA CALIFORNIA</c:v>
                </c:pt>
                <c:pt idx="1">
                  <c:v>BAJIO</c:v>
                </c:pt>
                <c:pt idx="2">
                  <c:v>CENTRO OCCIDENTE</c:v>
                </c:pt>
                <c:pt idx="3">
                  <c:v>CENTRO ORIENTE</c:v>
                </c:pt>
                <c:pt idx="4">
                  <c:v>CENTRO SUR</c:v>
                </c:pt>
                <c:pt idx="5">
                  <c:v>GOLFO NORTE</c:v>
                </c:pt>
                <c:pt idx="6">
                  <c:v>JALISCO</c:v>
                </c:pt>
                <c:pt idx="7">
                  <c:v>NOROESTE</c:v>
                </c:pt>
                <c:pt idx="8">
                  <c:v>NORTE</c:v>
                </c:pt>
                <c:pt idx="9">
                  <c:v>SURESTE</c:v>
                </c:pt>
                <c:pt idx="10">
                  <c:v>PENINSULAR</c:v>
                </c:pt>
                <c:pt idx="11">
                  <c:v>ORIENTE</c:v>
                </c:pt>
                <c:pt idx="12">
                  <c:v>GOLFO CENTRO</c:v>
                </c:pt>
                <c:pt idx="13">
                  <c:v>VALLE MEXICO NTE</c:v>
                </c:pt>
                <c:pt idx="14">
                  <c:v>VALLE MEXICO CENT</c:v>
                </c:pt>
                <c:pt idx="15">
                  <c:v>VALLE MEXICO SUR</c:v>
                </c:pt>
              </c:strCache>
            </c:strRef>
          </c:cat>
          <c:val>
            <c:numRef>
              <c:f>'Resumen OPEX'!$AD$4:$AD$19</c:f>
              <c:numCache>
                <c:formatCode>_ * #,##0_ ;_ * \-#,##0_ ;_ * "-"??_ ;_ @_ </c:formatCode>
                <c:ptCount val="16"/>
                <c:pt idx="0">
                  <c:v>616353.97145778337</c:v>
                </c:pt>
                <c:pt idx="1">
                  <c:v>538862.85520467244</c:v>
                </c:pt>
                <c:pt idx="2">
                  <c:v>485758.28112682799</c:v>
                </c:pt>
                <c:pt idx="3">
                  <c:v>454600.48835736897</c:v>
                </c:pt>
                <c:pt idx="4">
                  <c:v>447581.28415417043</c:v>
                </c:pt>
                <c:pt idx="5">
                  <c:v>436015.67571132682</c:v>
                </c:pt>
                <c:pt idx="6">
                  <c:v>392206.79582777421</c:v>
                </c:pt>
                <c:pt idx="7">
                  <c:v>372625.19684281113</c:v>
                </c:pt>
                <c:pt idx="8">
                  <c:v>368908.45885115286</c:v>
                </c:pt>
                <c:pt idx="9">
                  <c:v>329821.12249640102</c:v>
                </c:pt>
                <c:pt idx="10">
                  <c:v>320486.13423082425</c:v>
                </c:pt>
                <c:pt idx="11">
                  <c:v>316144.05916186061</c:v>
                </c:pt>
                <c:pt idx="12">
                  <c:v>301361.62954448134</c:v>
                </c:pt>
                <c:pt idx="13">
                  <c:v>279689.58596716146</c:v>
                </c:pt>
                <c:pt idx="14">
                  <c:v>257064.05972131615</c:v>
                </c:pt>
                <c:pt idx="15">
                  <c:v>246681.60378405912</c:v>
                </c:pt>
              </c:numCache>
            </c:numRef>
          </c:val>
          <c:extLst xmlns:c16r2="http://schemas.microsoft.com/office/drawing/2015/06/chart">
            <c:ext xmlns:c16="http://schemas.microsoft.com/office/drawing/2014/chart" uri="{C3380CC4-5D6E-409C-BE32-E72D297353CC}">
              <c16:uniqueId val="{00000000-5CA6-4907-9ADC-C9E350E12A09}"/>
            </c:ext>
          </c:extLst>
        </c:ser>
        <c:ser>
          <c:idx val="1"/>
          <c:order val="1"/>
          <c:tx>
            <c:strRef>
              <c:f>'Resumen OPEX'!$AE$2</c:f>
              <c:strCache>
                <c:ptCount val="1"/>
                <c:pt idx="0">
                  <c:v>Costos corporativos reales</c:v>
                </c:pt>
              </c:strCache>
            </c:strRef>
          </c:tx>
          <c:spPr>
            <a:solidFill>
              <a:schemeClr val="accent1">
                <a:lumMod val="60000"/>
                <a:lumOff val="40000"/>
              </a:schemeClr>
            </a:solidFill>
            <a:ln>
              <a:noFill/>
            </a:ln>
            <a:effectLst>
              <a:outerShdw blurRad="40000" dist="23000" dir="5400000" rotWithShape="0">
                <a:srgbClr val="000000">
                  <a:alpha val="35000"/>
                </a:srgbClr>
              </a:outerShdw>
            </a:effectLst>
          </c:spPr>
          <c:invertIfNegative val="0"/>
          <c:cat>
            <c:strRef>
              <c:f>'Resumen OPEX'!$J$4:$J$19</c:f>
              <c:strCache>
                <c:ptCount val="16"/>
                <c:pt idx="0">
                  <c:v>BAJA CALIFORNIA</c:v>
                </c:pt>
                <c:pt idx="1">
                  <c:v>BAJIO</c:v>
                </c:pt>
                <c:pt idx="2">
                  <c:v>CENTRO OCCIDENTE</c:v>
                </c:pt>
                <c:pt idx="3">
                  <c:v>CENTRO ORIENTE</c:v>
                </c:pt>
                <c:pt idx="4">
                  <c:v>CENTRO SUR</c:v>
                </c:pt>
                <c:pt idx="5">
                  <c:v>GOLFO NORTE</c:v>
                </c:pt>
                <c:pt idx="6">
                  <c:v>JALISCO</c:v>
                </c:pt>
                <c:pt idx="7">
                  <c:v>NOROESTE</c:v>
                </c:pt>
                <c:pt idx="8">
                  <c:v>NORTE</c:v>
                </c:pt>
                <c:pt idx="9">
                  <c:v>SURESTE</c:v>
                </c:pt>
                <c:pt idx="10">
                  <c:v>PENINSULAR</c:v>
                </c:pt>
                <c:pt idx="11">
                  <c:v>ORIENTE</c:v>
                </c:pt>
                <c:pt idx="12">
                  <c:v>GOLFO CENTRO</c:v>
                </c:pt>
                <c:pt idx="13">
                  <c:v>VALLE MEXICO NTE</c:v>
                </c:pt>
                <c:pt idx="14">
                  <c:v>VALLE MEXICO CENT</c:v>
                </c:pt>
                <c:pt idx="15">
                  <c:v>VALLE MEXICO SUR</c:v>
                </c:pt>
              </c:strCache>
            </c:strRef>
          </c:cat>
          <c:val>
            <c:numRef>
              <c:f>'Resumen OPEX'!$AE$4:$AE$19</c:f>
              <c:numCache>
                <c:formatCode>_ * #,##0_ ;_ * \-#,##0_ ;_ * "-"??_ ;_ @_ </c:formatCode>
                <c:ptCount val="16"/>
                <c:pt idx="0">
                  <c:v>570881.54282454657</c:v>
                </c:pt>
                <c:pt idx="1">
                  <c:v>291493.99912559468</c:v>
                </c:pt>
                <c:pt idx="2">
                  <c:v>586671.60675493174</c:v>
                </c:pt>
                <c:pt idx="3">
                  <c:v>268912.37609433191</c:v>
                </c:pt>
                <c:pt idx="4">
                  <c:v>576289.46868458367</c:v>
                </c:pt>
                <c:pt idx="5">
                  <c:v>358018.30686858331</c:v>
                </c:pt>
                <c:pt idx="6">
                  <c:v>724388.90766182076</c:v>
                </c:pt>
                <c:pt idx="7">
                  <c:v>400242.03230418323</c:v>
                </c:pt>
                <c:pt idx="8">
                  <c:v>30476.903003842177</c:v>
                </c:pt>
                <c:pt idx="9">
                  <c:v>380925.00909978978</c:v>
                </c:pt>
                <c:pt idx="10">
                  <c:v>422395.08353947848</c:v>
                </c:pt>
                <c:pt idx="11">
                  <c:v>34362.168667745544</c:v>
                </c:pt>
                <c:pt idx="12">
                  <c:v>511463.93886021018</c:v>
                </c:pt>
                <c:pt idx="13">
                  <c:v>213047.82853869387</c:v>
                </c:pt>
                <c:pt idx="14">
                  <c:v>516452.8753658444</c:v>
                </c:pt>
                <c:pt idx="15">
                  <c:v>278139.15504581307</c:v>
                </c:pt>
              </c:numCache>
            </c:numRef>
          </c:val>
          <c:extLst xmlns:c16r2="http://schemas.microsoft.com/office/drawing/2015/06/chart">
            <c:ext xmlns:c16="http://schemas.microsoft.com/office/drawing/2014/chart" uri="{C3380CC4-5D6E-409C-BE32-E72D297353CC}">
              <c16:uniqueId val="{00000001-5CA6-4907-9ADC-C9E350E12A09}"/>
            </c:ext>
          </c:extLst>
        </c:ser>
        <c:dLbls>
          <c:showLegendKey val="0"/>
          <c:showVal val="0"/>
          <c:showCatName val="0"/>
          <c:showSerName val="0"/>
          <c:showPercent val="0"/>
          <c:showBubbleSize val="0"/>
        </c:dLbls>
        <c:gapWidth val="75"/>
        <c:overlap val="-25"/>
        <c:axId val="335314904"/>
        <c:axId val="335308240"/>
      </c:barChart>
      <c:lineChart>
        <c:grouping val="standard"/>
        <c:varyColors val="0"/>
        <c:ser>
          <c:idx val="2"/>
          <c:order val="2"/>
          <c:tx>
            <c:strRef>
              <c:f>'Resumen OPEX'!$AF$2</c:f>
              <c:strCache>
                <c:ptCount val="1"/>
                <c:pt idx="0">
                  <c:v>Usuarios</c:v>
                </c:pt>
              </c:strCache>
            </c:strRef>
          </c:tx>
          <c:spPr>
            <a:ln w="31750" cap="rnd">
              <a:noFill/>
              <a:round/>
            </a:ln>
            <a:effectLst>
              <a:outerShdw blurRad="40000" dist="23000" dir="5400000" rotWithShape="0">
                <a:srgbClr val="000000">
                  <a:alpha val="35000"/>
                </a:srgbClr>
              </a:outerShdw>
            </a:effectLst>
          </c:spPr>
          <c:marker>
            <c:symbol val="triangle"/>
            <c:size val="10"/>
            <c:spPr>
              <a:solidFill>
                <a:srgbClr val="FF0000"/>
              </a:solidFill>
              <a:ln w="12700">
                <a:solidFill>
                  <a:srgbClr val="FF0000"/>
                </a:solidFill>
                <a:round/>
              </a:ln>
              <a:effectLst>
                <a:outerShdw blurRad="40000" dist="23000" dir="5400000" rotWithShape="0">
                  <a:srgbClr val="000000">
                    <a:alpha val="35000"/>
                  </a:srgbClr>
                </a:outerShdw>
              </a:effectLst>
            </c:spPr>
          </c:marker>
          <c:cat>
            <c:strRef>
              <c:f>'Resumen OPEX'!$AC$4:$AC$19</c:f>
              <c:strCache>
                <c:ptCount val="16"/>
                <c:pt idx="0">
                  <c:v>BAJIO</c:v>
                </c:pt>
                <c:pt idx="1">
                  <c:v>SURESTE</c:v>
                </c:pt>
                <c:pt idx="2">
                  <c:v>GOLFO NORTE</c:v>
                </c:pt>
                <c:pt idx="3">
                  <c:v>JALISCO</c:v>
                </c:pt>
                <c:pt idx="4">
                  <c:v>ORIENTE</c:v>
                </c:pt>
                <c:pt idx="5">
                  <c:v>CENTRO ORIENTE</c:v>
                </c:pt>
                <c:pt idx="6">
                  <c:v>VALLE MEXICO NTE</c:v>
                </c:pt>
                <c:pt idx="7">
                  <c:v>CENTRO SUR</c:v>
                </c:pt>
                <c:pt idx="8">
                  <c:v>VALLE MEXICO SUR</c:v>
                </c:pt>
                <c:pt idx="9">
                  <c:v>CENTRO OCCIDENTE</c:v>
                </c:pt>
                <c:pt idx="10">
                  <c:v>NORTE</c:v>
                </c:pt>
                <c:pt idx="11">
                  <c:v>VALLE MEXICO CENT</c:v>
                </c:pt>
                <c:pt idx="12">
                  <c:v>NOROESTE</c:v>
                </c:pt>
                <c:pt idx="13">
                  <c:v>GOLFO CENTRO</c:v>
                </c:pt>
                <c:pt idx="14">
                  <c:v>PENINSULAR</c:v>
                </c:pt>
                <c:pt idx="15">
                  <c:v>BAJA CALIFORNIA</c:v>
                </c:pt>
              </c:strCache>
            </c:strRef>
          </c:cat>
          <c:val>
            <c:numRef>
              <c:f>'Resumen OPEX'!$AF$4:$AF$19</c:f>
              <c:numCache>
                <c:formatCode>_ * #,##0_ ;_ * \-#,##0_ ;_ * "-"??_ ;_ @_ </c:formatCode>
                <c:ptCount val="16"/>
                <c:pt idx="0">
                  <c:v>3842990</c:v>
                </c:pt>
                <c:pt idx="1">
                  <c:v>3359830</c:v>
                </c:pt>
                <c:pt idx="2">
                  <c:v>3028721</c:v>
                </c:pt>
                <c:pt idx="3">
                  <c:v>2834451</c:v>
                </c:pt>
                <c:pt idx="4">
                  <c:v>2790686</c:v>
                </c:pt>
                <c:pt idx="5">
                  <c:v>2718574</c:v>
                </c:pt>
                <c:pt idx="6">
                  <c:v>2445424</c:v>
                </c:pt>
                <c:pt idx="7">
                  <c:v>2323332</c:v>
                </c:pt>
                <c:pt idx="8">
                  <c:v>2300158</c:v>
                </c:pt>
                <c:pt idx="9">
                  <c:v>2056447</c:v>
                </c:pt>
                <c:pt idx="10">
                  <c:v>1998243</c:v>
                </c:pt>
                <c:pt idx="11">
                  <c:v>1971170</c:v>
                </c:pt>
                <c:pt idx="12">
                  <c:v>1879001</c:v>
                </c:pt>
                <c:pt idx="13">
                  <c:v>1743875</c:v>
                </c:pt>
                <c:pt idx="14">
                  <c:v>1602804</c:v>
                </c:pt>
                <c:pt idx="15">
                  <c:v>1538069</c:v>
                </c:pt>
              </c:numCache>
            </c:numRef>
          </c:val>
          <c:smooth val="0"/>
          <c:extLst xmlns:c16r2="http://schemas.microsoft.com/office/drawing/2015/06/chart">
            <c:ext xmlns:c16="http://schemas.microsoft.com/office/drawing/2014/chart" uri="{C3380CC4-5D6E-409C-BE32-E72D297353CC}">
              <c16:uniqueId val="{00000002-5CA6-4907-9ADC-C9E350E12A09}"/>
            </c:ext>
          </c:extLst>
        </c:ser>
        <c:dLbls>
          <c:showLegendKey val="0"/>
          <c:showVal val="0"/>
          <c:showCatName val="0"/>
          <c:showSerName val="0"/>
          <c:showPercent val="0"/>
          <c:showBubbleSize val="0"/>
        </c:dLbls>
        <c:marker val="1"/>
        <c:smooth val="0"/>
        <c:axId val="213175232"/>
        <c:axId val="335260408"/>
      </c:lineChart>
      <c:catAx>
        <c:axId val="335314904"/>
        <c:scaling>
          <c:orientation val="minMax"/>
        </c:scaling>
        <c:delete val="0"/>
        <c:axPos val="b"/>
        <c:numFmt formatCode="General" sourceLinked="0"/>
        <c:majorTickMark val="none"/>
        <c:minorTickMark val="none"/>
        <c:tickLblPos val="nextTo"/>
        <c:spPr>
          <a:noFill/>
          <a:ln w="9525" cap="flat" cmpd="sng" algn="ctr">
            <a:solidFill>
              <a:schemeClr val="tx2">
                <a:lumMod val="15000"/>
                <a:lumOff val="85000"/>
              </a:schemeClr>
            </a:solidFill>
            <a:round/>
          </a:ln>
          <a:effectLst/>
        </c:spPr>
        <c:txPr>
          <a:bodyPr rot="-5400000" spcFirstLastPara="1" vertOverflow="ellipsis" wrap="square" anchor="ctr" anchorCtr="1"/>
          <a:lstStyle/>
          <a:p>
            <a:pPr>
              <a:defRPr sz="600" b="0" i="0" u="none" strike="noStrike" kern="1200" baseline="0">
                <a:solidFill>
                  <a:schemeClr val="tx1"/>
                </a:solidFill>
                <a:latin typeface="Arial Narrow" panose="020B0606020202030204" pitchFamily="34" charset="0"/>
                <a:ea typeface="+mn-ea"/>
                <a:cs typeface="+mn-cs"/>
              </a:defRPr>
            </a:pPr>
            <a:endParaRPr lang="es-MX"/>
          </a:p>
        </c:txPr>
        <c:crossAx val="335308240"/>
        <c:crosses val="autoZero"/>
        <c:auto val="1"/>
        <c:lblAlgn val="ctr"/>
        <c:lblOffset val="100"/>
        <c:noMultiLvlLbl val="0"/>
      </c:catAx>
      <c:valAx>
        <c:axId val="335308240"/>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US" sz="900">
                    <a:solidFill>
                      <a:schemeClr val="tx1"/>
                    </a:solidFill>
                  </a:rPr>
                  <a:t>Costos corporativos [Miles</a:t>
                </a:r>
                <a:r>
                  <a:rPr lang="en-US" sz="900" baseline="0">
                    <a:solidFill>
                      <a:schemeClr val="tx1"/>
                    </a:solidFill>
                  </a:rPr>
                  <a:t> de </a:t>
                </a:r>
                <a:r>
                  <a:rPr lang="en-US" sz="900">
                    <a:solidFill>
                      <a:schemeClr val="tx1"/>
                    </a:solidFill>
                  </a:rPr>
                  <a:t>USD]</a:t>
                </a:r>
              </a:p>
            </c:rich>
          </c:tx>
          <c:layout>
            <c:manualLayout>
              <c:xMode val="edge"/>
              <c:yMode val="edge"/>
              <c:x val="7.61964418298535E-3"/>
              <c:y val="0.18553522100872316"/>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s-MX"/>
            </a:p>
          </c:txPr>
        </c:title>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solidFill>
                <a:latin typeface="+mn-lt"/>
                <a:ea typeface="+mn-ea"/>
                <a:cs typeface="+mn-cs"/>
              </a:defRPr>
            </a:pPr>
            <a:endParaRPr lang="es-MX"/>
          </a:p>
        </c:txPr>
        <c:crossAx val="335314904"/>
        <c:crosses val="autoZero"/>
        <c:crossBetween val="between"/>
      </c:valAx>
      <c:valAx>
        <c:axId val="335260408"/>
        <c:scaling>
          <c:orientation val="minMax"/>
        </c:scaling>
        <c:delete val="0"/>
        <c:axPos val="r"/>
        <c:title>
          <c:tx>
            <c:rich>
              <a:bodyPr rot="-540000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US" sz="900">
                    <a:solidFill>
                      <a:schemeClr val="tx1"/>
                    </a:solidFill>
                  </a:rPr>
                  <a:t>[cantidad de clientes]</a:t>
                </a:r>
              </a:p>
            </c:rich>
          </c:tx>
          <c:layout>
            <c:manualLayout>
              <c:xMode val="edge"/>
              <c:yMode val="edge"/>
              <c:x val="0.9660540188865181"/>
              <c:y val="0.16023636305349781"/>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s-MX"/>
            </a:p>
          </c:txPr>
        </c:title>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solidFill>
                <a:latin typeface="+mn-lt"/>
                <a:ea typeface="+mn-ea"/>
                <a:cs typeface="+mn-cs"/>
              </a:defRPr>
            </a:pPr>
            <a:endParaRPr lang="es-MX"/>
          </a:p>
        </c:txPr>
        <c:crossAx val="213175232"/>
        <c:crosses val="max"/>
        <c:crossBetween val="between"/>
      </c:valAx>
      <c:catAx>
        <c:axId val="213175232"/>
        <c:scaling>
          <c:orientation val="minMax"/>
        </c:scaling>
        <c:delete val="1"/>
        <c:axPos val="b"/>
        <c:numFmt formatCode="General" sourceLinked="1"/>
        <c:majorTickMark val="none"/>
        <c:minorTickMark val="none"/>
        <c:tickLblPos val="nextTo"/>
        <c:crossAx val="335260408"/>
        <c:crosses val="autoZero"/>
        <c:auto val="1"/>
        <c:lblAlgn val="ctr"/>
        <c:lblOffset val="100"/>
        <c:noMultiLvlLbl val="0"/>
      </c:catAx>
      <c:spPr>
        <a:noFill/>
        <a:ln>
          <a:noFill/>
        </a:ln>
        <a:effectLst/>
      </c:spPr>
    </c:plotArea>
    <c:legend>
      <c:legendPos val="b"/>
      <c:layout>
        <c:manualLayout>
          <c:xMode val="edge"/>
          <c:yMode val="edge"/>
          <c:x val="0"/>
          <c:y val="0.92607420166229226"/>
          <c:w val="0.99693236152255482"/>
          <c:h val="7.1835254304211574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s-MX"/>
        </a:p>
      </c:txPr>
    </c:legend>
    <c:plotVisOnly val="1"/>
    <c:dispBlanksAs val="gap"/>
    <c:showDLblsOverMax val="0"/>
  </c:chart>
  <c:spPr>
    <a:solidFill>
      <a:schemeClr val="bg1"/>
    </a:solidFill>
    <a:ln w="9525" cap="flat" cmpd="sng" algn="ctr">
      <a:noFill/>
      <a:round/>
    </a:ln>
    <a:effectLst/>
  </c:spPr>
  <c:txPr>
    <a:bodyPr/>
    <a:lstStyle/>
    <a:p>
      <a:pPr>
        <a:defRPr sz="1400"/>
      </a:pPr>
      <a:endParaRPr lang="es-MX"/>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Hoja1!$AV$6</c:f>
              <c:strCache>
                <c:ptCount val="1"/>
                <c:pt idx="0">
                  <c:v>Año Base</c:v>
                </c:pt>
              </c:strCache>
            </c:strRef>
          </c:tx>
          <c:spPr>
            <a:gradFill rotWithShape="1">
              <a:gsLst>
                <a:gs pos="0">
                  <a:schemeClr val="accent1">
                    <a:shade val="53000"/>
                    <a:satMod val="103000"/>
                    <a:lumMod val="102000"/>
                    <a:tint val="94000"/>
                  </a:schemeClr>
                </a:gs>
                <a:gs pos="50000">
                  <a:schemeClr val="accent1">
                    <a:shade val="53000"/>
                    <a:satMod val="110000"/>
                    <a:lumMod val="100000"/>
                    <a:shade val="100000"/>
                  </a:schemeClr>
                </a:gs>
                <a:gs pos="100000">
                  <a:schemeClr val="accent1">
                    <a:shade val="53000"/>
                    <a:lumMod val="99000"/>
                    <a:satMod val="120000"/>
                    <a:shade val="78000"/>
                  </a:schemeClr>
                </a:gs>
              </a:gsLst>
              <a:lin ang="5400000" scaled="0"/>
            </a:gradFill>
            <a:ln>
              <a:noFill/>
            </a:ln>
            <a:effectLst/>
          </c:spPr>
          <c:invertIfNegative val="0"/>
          <c:cat>
            <c:strRef>
              <c:f>Hoja1!$AU$7:$AU$22</c:f>
              <c:strCache>
                <c:ptCount val="16"/>
                <c:pt idx="0">
                  <c:v>BAJA CALIFORNIA</c:v>
                </c:pt>
                <c:pt idx="1">
                  <c:v>NOROESTE</c:v>
                </c:pt>
                <c:pt idx="2">
                  <c:v>NORTE</c:v>
                </c:pt>
                <c:pt idx="3">
                  <c:v>GOLFO NORTE</c:v>
                </c:pt>
                <c:pt idx="4">
                  <c:v>CENTRO OCCIDENTE</c:v>
                </c:pt>
                <c:pt idx="5">
                  <c:v>CENTRO SUR</c:v>
                </c:pt>
                <c:pt idx="6">
                  <c:v>ORIENTE</c:v>
                </c:pt>
                <c:pt idx="7">
                  <c:v>SURESTE</c:v>
                </c:pt>
                <c:pt idx="8">
                  <c:v>BAJIO</c:v>
                </c:pt>
                <c:pt idx="9">
                  <c:v>GOLFO CENTRO</c:v>
                </c:pt>
                <c:pt idx="10">
                  <c:v>CENTRO ORIENTE</c:v>
                </c:pt>
                <c:pt idx="11">
                  <c:v>PENINSULAR</c:v>
                </c:pt>
                <c:pt idx="12">
                  <c:v>JALISCO</c:v>
                </c:pt>
                <c:pt idx="13">
                  <c:v>VALLE MEXICO NTE</c:v>
                </c:pt>
                <c:pt idx="14">
                  <c:v>VALLE MEXICO CENT</c:v>
                </c:pt>
                <c:pt idx="15">
                  <c:v>VALLE MEXICO SUR</c:v>
                </c:pt>
              </c:strCache>
            </c:strRef>
          </c:cat>
          <c:val>
            <c:numRef>
              <c:f>Hoja1!$AV$7:$AV$22</c:f>
              <c:numCache>
                <c:formatCode>0.0%</c:formatCode>
                <c:ptCount val="16"/>
                <c:pt idx="0">
                  <c:v>3.6550700459009967E-2</c:v>
                </c:pt>
                <c:pt idx="1">
                  <c:v>3.5945471975275797E-2</c:v>
                </c:pt>
                <c:pt idx="2">
                  <c:v>4.2382463644252716E-2</c:v>
                </c:pt>
                <c:pt idx="3">
                  <c:v>2.9321862255138092E-2</c:v>
                </c:pt>
                <c:pt idx="4">
                  <c:v>3.7618526530524971E-2</c:v>
                </c:pt>
                <c:pt idx="5">
                  <c:v>4.6825226061248872E-2</c:v>
                </c:pt>
                <c:pt idx="6">
                  <c:v>6.3502399568333201E-2</c:v>
                </c:pt>
                <c:pt idx="7">
                  <c:v>9.0935630483869184E-2</c:v>
                </c:pt>
                <c:pt idx="8">
                  <c:v>5.9716718714339902E-2</c:v>
                </c:pt>
                <c:pt idx="9">
                  <c:v>3.692897915306053E-2</c:v>
                </c:pt>
                <c:pt idx="10">
                  <c:v>3.8343499033523708E-2</c:v>
                </c:pt>
                <c:pt idx="11">
                  <c:v>4.6835088701049209E-2</c:v>
                </c:pt>
                <c:pt idx="12">
                  <c:v>5.4471887373966764E-2</c:v>
                </c:pt>
                <c:pt idx="13">
                  <c:v>8.5097382962752266E-2</c:v>
                </c:pt>
                <c:pt idx="14">
                  <c:v>6.6986531597230531E-2</c:v>
                </c:pt>
                <c:pt idx="15">
                  <c:v>5.8200422354608372E-2</c:v>
                </c:pt>
              </c:numCache>
            </c:numRef>
          </c:val>
          <c:extLst xmlns:c16r2="http://schemas.microsoft.com/office/drawing/2015/06/chart">
            <c:ext xmlns:c16="http://schemas.microsoft.com/office/drawing/2014/chart" uri="{C3380CC4-5D6E-409C-BE32-E72D297353CC}">
              <c16:uniqueId val="{00000000-65E5-4187-88C9-DB1F7347DBCC}"/>
            </c:ext>
          </c:extLst>
        </c:ser>
        <c:ser>
          <c:idx val="1"/>
          <c:order val="1"/>
          <c:tx>
            <c:strRef>
              <c:f>Hoja1!$AW$6</c:f>
              <c:strCache>
                <c:ptCount val="1"/>
                <c:pt idx="0">
                  <c:v>2016</c:v>
                </c:pt>
              </c:strCache>
            </c:strRef>
          </c:tx>
          <c:spPr>
            <a:gradFill rotWithShape="1">
              <a:gsLst>
                <a:gs pos="0">
                  <a:schemeClr val="accent1">
                    <a:shade val="76000"/>
                    <a:satMod val="103000"/>
                    <a:lumMod val="102000"/>
                    <a:tint val="94000"/>
                  </a:schemeClr>
                </a:gs>
                <a:gs pos="50000">
                  <a:schemeClr val="accent1">
                    <a:shade val="76000"/>
                    <a:satMod val="110000"/>
                    <a:lumMod val="100000"/>
                    <a:shade val="100000"/>
                  </a:schemeClr>
                </a:gs>
                <a:gs pos="100000">
                  <a:schemeClr val="accent1">
                    <a:shade val="76000"/>
                    <a:lumMod val="99000"/>
                    <a:satMod val="120000"/>
                    <a:shade val="78000"/>
                  </a:schemeClr>
                </a:gs>
              </a:gsLst>
              <a:lin ang="5400000" scaled="0"/>
            </a:gradFill>
            <a:ln>
              <a:noFill/>
            </a:ln>
            <a:effectLst/>
          </c:spPr>
          <c:invertIfNegative val="0"/>
          <c:cat>
            <c:strRef>
              <c:f>Hoja1!$AU$7:$AU$22</c:f>
              <c:strCache>
                <c:ptCount val="16"/>
                <c:pt idx="0">
                  <c:v>BAJA CALIFORNIA</c:v>
                </c:pt>
                <c:pt idx="1">
                  <c:v>NOROESTE</c:v>
                </c:pt>
                <c:pt idx="2">
                  <c:v>NORTE</c:v>
                </c:pt>
                <c:pt idx="3">
                  <c:v>GOLFO NORTE</c:v>
                </c:pt>
                <c:pt idx="4">
                  <c:v>CENTRO OCCIDENTE</c:v>
                </c:pt>
                <c:pt idx="5">
                  <c:v>CENTRO SUR</c:v>
                </c:pt>
                <c:pt idx="6">
                  <c:v>ORIENTE</c:v>
                </c:pt>
                <c:pt idx="7">
                  <c:v>SURESTE</c:v>
                </c:pt>
                <c:pt idx="8">
                  <c:v>BAJIO</c:v>
                </c:pt>
                <c:pt idx="9">
                  <c:v>GOLFO CENTRO</c:v>
                </c:pt>
                <c:pt idx="10">
                  <c:v>CENTRO ORIENTE</c:v>
                </c:pt>
                <c:pt idx="11">
                  <c:v>PENINSULAR</c:v>
                </c:pt>
                <c:pt idx="12">
                  <c:v>JALISCO</c:v>
                </c:pt>
                <c:pt idx="13">
                  <c:v>VALLE MEXICO NTE</c:v>
                </c:pt>
                <c:pt idx="14">
                  <c:v>VALLE MEXICO CENT</c:v>
                </c:pt>
                <c:pt idx="15">
                  <c:v>VALLE MEXICO SUR</c:v>
                </c:pt>
              </c:strCache>
            </c:strRef>
          </c:cat>
          <c:val>
            <c:numRef>
              <c:f>Hoja1!$AW$7:$AW$22</c:f>
              <c:numCache>
                <c:formatCode>0.0%</c:formatCode>
                <c:ptCount val="16"/>
                <c:pt idx="0">
                  <c:v>3.6550700459009967E-2</c:v>
                </c:pt>
                <c:pt idx="1">
                  <c:v>3.5945471975275797E-2</c:v>
                </c:pt>
                <c:pt idx="2">
                  <c:v>4.2382463644252716E-2</c:v>
                </c:pt>
                <c:pt idx="3">
                  <c:v>2.9321862255138092E-2</c:v>
                </c:pt>
                <c:pt idx="4">
                  <c:v>3.7618526530524971E-2</c:v>
                </c:pt>
                <c:pt idx="5">
                  <c:v>4.6825226061248872E-2</c:v>
                </c:pt>
                <c:pt idx="6">
                  <c:v>5.8422207602866545E-2</c:v>
                </c:pt>
                <c:pt idx="7">
                  <c:v>8.3660780045159658E-2</c:v>
                </c:pt>
                <c:pt idx="8">
                  <c:v>5.4939381217192711E-2</c:v>
                </c:pt>
                <c:pt idx="9">
                  <c:v>3.692897915306053E-2</c:v>
                </c:pt>
                <c:pt idx="10">
                  <c:v>3.8343499033523708E-2</c:v>
                </c:pt>
                <c:pt idx="11">
                  <c:v>4.6835088701049209E-2</c:v>
                </c:pt>
                <c:pt idx="12">
                  <c:v>5.0114136384049428E-2</c:v>
                </c:pt>
                <c:pt idx="13">
                  <c:v>7.8289592325732085E-2</c:v>
                </c:pt>
                <c:pt idx="14">
                  <c:v>6.162760906945209E-2</c:v>
                </c:pt>
                <c:pt idx="15">
                  <c:v>5.3544388566239706E-2</c:v>
                </c:pt>
              </c:numCache>
            </c:numRef>
          </c:val>
          <c:extLst xmlns:c16r2="http://schemas.microsoft.com/office/drawing/2015/06/chart">
            <c:ext xmlns:c16="http://schemas.microsoft.com/office/drawing/2014/chart" uri="{C3380CC4-5D6E-409C-BE32-E72D297353CC}">
              <c16:uniqueId val="{00000001-65E5-4187-88C9-DB1F7347DBCC}"/>
            </c:ext>
          </c:extLst>
        </c:ser>
        <c:ser>
          <c:idx val="2"/>
          <c:order val="2"/>
          <c:tx>
            <c:strRef>
              <c:f>Hoja1!$AX$6</c:f>
              <c:strCache>
                <c:ptCount val="1"/>
                <c:pt idx="0">
                  <c:v>2017</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Hoja1!$AU$7:$AU$22</c:f>
              <c:strCache>
                <c:ptCount val="16"/>
                <c:pt idx="0">
                  <c:v>BAJA CALIFORNIA</c:v>
                </c:pt>
                <c:pt idx="1">
                  <c:v>NOROESTE</c:v>
                </c:pt>
                <c:pt idx="2">
                  <c:v>NORTE</c:v>
                </c:pt>
                <c:pt idx="3">
                  <c:v>GOLFO NORTE</c:v>
                </c:pt>
                <c:pt idx="4">
                  <c:v>CENTRO OCCIDENTE</c:v>
                </c:pt>
                <c:pt idx="5">
                  <c:v>CENTRO SUR</c:v>
                </c:pt>
                <c:pt idx="6">
                  <c:v>ORIENTE</c:v>
                </c:pt>
                <c:pt idx="7">
                  <c:v>SURESTE</c:v>
                </c:pt>
                <c:pt idx="8">
                  <c:v>BAJIO</c:v>
                </c:pt>
                <c:pt idx="9">
                  <c:v>GOLFO CENTRO</c:v>
                </c:pt>
                <c:pt idx="10">
                  <c:v>CENTRO ORIENTE</c:v>
                </c:pt>
                <c:pt idx="11">
                  <c:v>PENINSULAR</c:v>
                </c:pt>
                <c:pt idx="12">
                  <c:v>JALISCO</c:v>
                </c:pt>
                <c:pt idx="13">
                  <c:v>VALLE MEXICO NTE</c:v>
                </c:pt>
                <c:pt idx="14">
                  <c:v>VALLE MEXICO CENT</c:v>
                </c:pt>
                <c:pt idx="15">
                  <c:v>VALLE MEXICO SUR</c:v>
                </c:pt>
              </c:strCache>
            </c:strRef>
          </c:cat>
          <c:val>
            <c:numRef>
              <c:f>Hoja1!$AX$7:$AX$22</c:f>
              <c:numCache>
                <c:formatCode>0.0%</c:formatCode>
                <c:ptCount val="16"/>
                <c:pt idx="0">
                  <c:v>3.6550700459009967E-2</c:v>
                </c:pt>
                <c:pt idx="1">
                  <c:v>3.5945471975275797E-2</c:v>
                </c:pt>
                <c:pt idx="2">
                  <c:v>4.2382463644252716E-2</c:v>
                </c:pt>
                <c:pt idx="3">
                  <c:v>2.9321862255138092E-2</c:v>
                </c:pt>
                <c:pt idx="4">
                  <c:v>3.7618526530524971E-2</c:v>
                </c:pt>
                <c:pt idx="5">
                  <c:v>4.6825226061248872E-2</c:v>
                </c:pt>
                <c:pt idx="6">
                  <c:v>5.3748430994637227E-2</c:v>
                </c:pt>
                <c:pt idx="7">
                  <c:v>7.6967917641546882E-2</c:v>
                </c:pt>
                <c:pt idx="8">
                  <c:v>5.0544230719817299E-2</c:v>
                </c:pt>
                <c:pt idx="9">
                  <c:v>3.692897915306053E-2</c:v>
                </c:pt>
                <c:pt idx="10">
                  <c:v>3.8343499033523708E-2</c:v>
                </c:pt>
                <c:pt idx="11">
                  <c:v>4.6835088701049209E-2</c:v>
                </c:pt>
                <c:pt idx="12">
                  <c:v>0.05</c:v>
                </c:pt>
                <c:pt idx="13">
                  <c:v>7.2026424939673525E-2</c:v>
                </c:pt>
                <c:pt idx="14">
                  <c:v>5.6697400343895928E-2</c:v>
                </c:pt>
                <c:pt idx="15">
                  <c:v>0.05</c:v>
                </c:pt>
              </c:numCache>
            </c:numRef>
          </c:val>
          <c:extLst xmlns:c16r2="http://schemas.microsoft.com/office/drawing/2015/06/chart">
            <c:ext xmlns:c16="http://schemas.microsoft.com/office/drawing/2014/chart" uri="{C3380CC4-5D6E-409C-BE32-E72D297353CC}">
              <c16:uniqueId val="{00000002-65E5-4187-88C9-DB1F7347DBCC}"/>
            </c:ext>
          </c:extLst>
        </c:ser>
        <c:ser>
          <c:idx val="3"/>
          <c:order val="3"/>
          <c:tx>
            <c:strRef>
              <c:f>Hoja1!$AY$6</c:f>
              <c:strCache>
                <c:ptCount val="1"/>
                <c:pt idx="0">
                  <c:v>2018</c:v>
                </c:pt>
              </c:strCache>
            </c:strRef>
          </c:tx>
          <c:spPr>
            <a:gradFill rotWithShape="1">
              <a:gsLst>
                <a:gs pos="0">
                  <a:schemeClr val="accent1">
                    <a:tint val="77000"/>
                    <a:satMod val="103000"/>
                    <a:lumMod val="102000"/>
                    <a:tint val="94000"/>
                  </a:schemeClr>
                </a:gs>
                <a:gs pos="50000">
                  <a:schemeClr val="accent1">
                    <a:tint val="77000"/>
                    <a:satMod val="110000"/>
                    <a:lumMod val="100000"/>
                    <a:shade val="100000"/>
                  </a:schemeClr>
                </a:gs>
                <a:gs pos="100000">
                  <a:schemeClr val="accent1">
                    <a:tint val="77000"/>
                    <a:lumMod val="99000"/>
                    <a:satMod val="120000"/>
                    <a:shade val="78000"/>
                  </a:schemeClr>
                </a:gs>
              </a:gsLst>
              <a:lin ang="5400000" scaled="0"/>
            </a:gradFill>
            <a:ln>
              <a:noFill/>
            </a:ln>
            <a:effectLst/>
          </c:spPr>
          <c:invertIfNegative val="0"/>
          <c:cat>
            <c:strRef>
              <c:f>Hoja1!$AU$7:$AU$22</c:f>
              <c:strCache>
                <c:ptCount val="16"/>
                <c:pt idx="0">
                  <c:v>BAJA CALIFORNIA</c:v>
                </c:pt>
                <c:pt idx="1">
                  <c:v>NOROESTE</c:v>
                </c:pt>
                <c:pt idx="2">
                  <c:v>NORTE</c:v>
                </c:pt>
                <c:pt idx="3">
                  <c:v>GOLFO NORTE</c:v>
                </c:pt>
                <c:pt idx="4">
                  <c:v>CENTRO OCCIDENTE</c:v>
                </c:pt>
                <c:pt idx="5">
                  <c:v>CENTRO SUR</c:v>
                </c:pt>
                <c:pt idx="6">
                  <c:v>ORIENTE</c:v>
                </c:pt>
                <c:pt idx="7">
                  <c:v>SURESTE</c:v>
                </c:pt>
                <c:pt idx="8">
                  <c:v>BAJIO</c:v>
                </c:pt>
                <c:pt idx="9">
                  <c:v>GOLFO CENTRO</c:v>
                </c:pt>
                <c:pt idx="10">
                  <c:v>CENTRO ORIENTE</c:v>
                </c:pt>
                <c:pt idx="11">
                  <c:v>PENINSULAR</c:v>
                </c:pt>
                <c:pt idx="12">
                  <c:v>JALISCO</c:v>
                </c:pt>
                <c:pt idx="13">
                  <c:v>VALLE MEXICO NTE</c:v>
                </c:pt>
                <c:pt idx="14">
                  <c:v>VALLE MEXICO CENT</c:v>
                </c:pt>
                <c:pt idx="15">
                  <c:v>VALLE MEXICO SUR</c:v>
                </c:pt>
              </c:strCache>
            </c:strRef>
          </c:cat>
          <c:val>
            <c:numRef>
              <c:f>Hoja1!$AY$7:$AY$22</c:f>
              <c:numCache>
                <c:formatCode>0.0%</c:formatCode>
                <c:ptCount val="16"/>
                <c:pt idx="0">
                  <c:v>3.6550700459009967E-2</c:v>
                </c:pt>
                <c:pt idx="1">
                  <c:v>3.5945471975275797E-2</c:v>
                </c:pt>
                <c:pt idx="2">
                  <c:v>4.2382463644252716E-2</c:v>
                </c:pt>
                <c:pt idx="3">
                  <c:v>2.9321862255138092E-2</c:v>
                </c:pt>
                <c:pt idx="4">
                  <c:v>3.7618526530524971E-2</c:v>
                </c:pt>
                <c:pt idx="5">
                  <c:v>4.6825226061248872E-2</c:v>
                </c:pt>
                <c:pt idx="6">
                  <c:v>0.05</c:v>
                </c:pt>
                <c:pt idx="7">
                  <c:v>7.0810484230223139E-2</c:v>
                </c:pt>
                <c:pt idx="8">
                  <c:v>0.05</c:v>
                </c:pt>
                <c:pt idx="9">
                  <c:v>3.692897915306053E-2</c:v>
                </c:pt>
                <c:pt idx="10">
                  <c:v>3.8343499033523708E-2</c:v>
                </c:pt>
                <c:pt idx="11">
                  <c:v>4.6835088701049209E-2</c:v>
                </c:pt>
                <c:pt idx="12">
                  <c:v>0.05</c:v>
                </c:pt>
                <c:pt idx="13">
                  <c:v>6.6264310944499652E-2</c:v>
                </c:pt>
                <c:pt idx="14">
                  <c:v>5.2161608316384257E-2</c:v>
                </c:pt>
                <c:pt idx="15">
                  <c:v>0.05</c:v>
                </c:pt>
              </c:numCache>
            </c:numRef>
          </c:val>
          <c:extLst xmlns:c16r2="http://schemas.microsoft.com/office/drawing/2015/06/chart">
            <c:ext xmlns:c16="http://schemas.microsoft.com/office/drawing/2014/chart" uri="{C3380CC4-5D6E-409C-BE32-E72D297353CC}">
              <c16:uniqueId val="{00000003-65E5-4187-88C9-DB1F7347DBCC}"/>
            </c:ext>
          </c:extLst>
        </c:ser>
        <c:dLbls>
          <c:showLegendKey val="0"/>
          <c:showVal val="0"/>
          <c:showCatName val="0"/>
          <c:showSerName val="0"/>
          <c:showPercent val="0"/>
          <c:showBubbleSize val="0"/>
        </c:dLbls>
        <c:gapWidth val="100"/>
        <c:overlap val="-24"/>
        <c:axId val="362802760"/>
        <c:axId val="362801584"/>
      </c:barChart>
      <c:lineChart>
        <c:grouping val="stacked"/>
        <c:varyColors val="0"/>
        <c:ser>
          <c:idx val="4"/>
          <c:order val="4"/>
          <c:tx>
            <c:v>Valor máximo permitido</c:v>
          </c:tx>
          <c:spPr>
            <a:ln w="31750" cap="rnd">
              <a:solidFill>
                <a:schemeClr val="accent6">
                  <a:lumMod val="75000"/>
                </a:schemeClr>
              </a:solidFill>
              <a:round/>
            </a:ln>
            <a:effectLst/>
          </c:spPr>
          <c:marker>
            <c:symbol val="circle"/>
            <c:size val="6"/>
            <c:spPr>
              <a:solidFill>
                <a:schemeClr val="accent6">
                  <a:lumMod val="75000"/>
                </a:schemeClr>
              </a:solidFill>
              <a:ln w="12700">
                <a:solidFill>
                  <a:schemeClr val="lt2"/>
                </a:solidFill>
                <a:round/>
              </a:ln>
              <a:effectLst/>
            </c:spPr>
          </c:marker>
          <c:val>
            <c:numRef>
              <c:f>Hoja1!$BE$7:$BE$22</c:f>
              <c:numCache>
                <c:formatCode>0%</c:formatCode>
                <c:ptCount val="16"/>
                <c:pt idx="0">
                  <c:v>0.05</c:v>
                </c:pt>
                <c:pt idx="1">
                  <c:v>0.05</c:v>
                </c:pt>
                <c:pt idx="2">
                  <c:v>0.05</c:v>
                </c:pt>
                <c:pt idx="3">
                  <c:v>0.05</c:v>
                </c:pt>
                <c:pt idx="4">
                  <c:v>0.05</c:v>
                </c:pt>
                <c:pt idx="5">
                  <c:v>0.05</c:v>
                </c:pt>
                <c:pt idx="6">
                  <c:v>0.05</c:v>
                </c:pt>
                <c:pt idx="7">
                  <c:v>0.05</c:v>
                </c:pt>
                <c:pt idx="8">
                  <c:v>0.05</c:v>
                </c:pt>
                <c:pt idx="9">
                  <c:v>0.05</c:v>
                </c:pt>
                <c:pt idx="10">
                  <c:v>0.05</c:v>
                </c:pt>
                <c:pt idx="11">
                  <c:v>0.05</c:v>
                </c:pt>
                <c:pt idx="12">
                  <c:v>0.05</c:v>
                </c:pt>
                <c:pt idx="13">
                  <c:v>0.05</c:v>
                </c:pt>
                <c:pt idx="14">
                  <c:v>0.05</c:v>
                </c:pt>
                <c:pt idx="15">
                  <c:v>0.05</c:v>
                </c:pt>
              </c:numCache>
            </c:numRef>
          </c:val>
          <c:smooth val="0"/>
          <c:extLst xmlns:c16r2="http://schemas.microsoft.com/office/drawing/2015/06/chart">
            <c:ext xmlns:c16="http://schemas.microsoft.com/office/drawing/2014/chart" uri="{C3380CC4-5D6E-409C-BE32-E72D297353CC}">
              <c16:uniqueId val="{00000006-65E5-4187-88C9-DB1F7347DBCC}"/>
            </c:ext>
          </c:extLst>
        </c:ser>
        <c:dLbls>
          <c:showLegendKey val="0"/>
          <c:showVal val="0"/>
          <c:showCatName val="0"/>
          <c:showSerName val="0"/>
          <c:showPercent val="0"/>
          <c:showBubbleSize val="0"/>
        </c:dLbls>
        <c:marker val="1"/>
        <c:smooth val="0"/>
        <c:axId val="362802760"/>
        <c:axId val="362801584"/>
      </c:lineChart>
      <c:catAx>
        <c:axId val="36280276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2"/>
                </a:solidFill>
                <a:latin typeface="+mn-lt"/>
                <a:ea typeface="+mn-ea"/>
                <a:cs typeface="+mn-cs"/>
              </a:defRPr>
            </a:pPr>
            <a:endParaRPr lang="es-MX"/>
          </a:p>
        </c:txPr>
        <c:crossAx val="362801584"/>
        <c:crosses val="autoZero"/>
        <c:auto val="1"/>
        <c:lblAlgn val="ctr"/>
        <c:lblOffset val="100"/>
        <c:noMultiLvlLbl val="0"/>
      </c:catAx>
      <c:valAx>
        <c:axId val="362801584"/>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MX"/>
          </a:p>
        </c:txPr>
        <c:crossAx val="362802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900"/>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Hoja1!$AZ$6</c:f>
              <c:strCache>
                <c:ptCount val="1"/>
                <c:pt idx="0">
                  <c:v>Año Base</c:v>
                </c:pt>
              </c:strCache>
            </c:strRef>
          </c:tx>
          <c:spPr>
            <a:gradFill rotWithShape="1">
              <a:gsLst>
                <a:gs pos="0">
                  <a:schemeClr val="accent1">
                    <a:shade val="53000"/>
                    <a:satMod val="103000"/>
                    <a:lumMod val="102000"/>
                    <a:tint val="94000"/>
                  </a:schemeClr>
                </a:gs>
                <a:gs pos="50000">
                  <a:schemeClr val="accent1">
                    <a:shade val="53000"/>
                    <a:satMod val="110000"/>
                    <a:lumMod val="100000"/>
                    <a:shade val="100000"/>
                  </a:schemeClr>
                </a:gs>
                <a:gs pos="100000">
                  <a:schemeClr val="accent1">
                    <a:shade val="53000"/>
                    <a:lumMod val="99000"/>
                    <a:satMod val="120000"/>
                    <a:shade val="78000"/>
                  </a:schemeClr>
                </a:gs>
              </a:gsLst>
              <a:lin ang="5400000" scaled="0"/>
            </a:gradFill>
            <a:ln>
              <a:noFill/>
            </a:ln>
            <a:effectLst/>
          </c:spPr>
          <c:invertIfNegative val="0"/>
          <c:cat>
            <c:strRef>
              <c:f>Hoja1!$AU$7:$AU$22</c:f>
              <c:strCache>
                <c:ptCount val="16"/>
                <c:pt idx="0">
                  <c:v>BAJA CALIFORNIA</c:v>
                </c:pt>
                <c:pt idx="1">
                  <c:v>NOROESTE</c:v>
                </c:pt>
                <c:pt idx="2">
                  <c:v>NORTE</c:v>
                </c:pt>
                <c:pt idx="3">
                  <c:v>GOLFO NORTE</c:v>
                </c:pt>
                <c:pt idx="4">
                  <c:v>CENTRO OCCIDENTE</c:v>
                </c:pt>
                <c:pt idx="5">
                  <c:v>CENTRO SUR</c:v>
                </c:pt>
                <c:pt idx="6">
                  <c:v>ORIENTE</c:v>
                </c:pt>
                <c:pt idx="7">
                  <c:v>SURESTE</c:v>
                </c:pt>
                <c:pt idx="8">
                  <c:v>BAJIO</c:v>
                </c:pt>
                <c:pt idx="9">
                  <c:v>GOLFO CENTRO</c:v>
                </c:pt>
                <c:pt idx="10">
                  <c:v>CENTRO ORIENTE</c:v>
                </c:pt>
                <c:pt idx="11">
                  <c:v>PENINSULAR</c:v>
                </c:pt>
                <c:pt idx="12">
                  <c:v>JALISCO</c:v>
                </c:pt>
                <c:pt idx="13">
                  <c:v>VALLE MEXICO NTE</c:v>
                </c:pt>
                <c:pt idx="14">
                  <c:v>VALLE MEXICO CENT</c:v>
                </c:pt>
                <c:pt idx="15">
                  <c:v>VALLE MEXICO SUR</c:v>
                </c:pt>
              </c:strCache>
            </c:strRef>
          </c:cat>
          <c:val>
            <c:numRef>
              <c:f>Hoja1!$AZ$7:$AZ$22</c:f>
              <c:numCache>
                <c:formatCode>0.0%</c:formatCode>
                <c:ptCount val="16"/>
                <c:pt idx="0">
                  <c:v>3.8570282260796555E-2</c:v>
                </c:pt>
                <c:pt idx="1">
                  <c:v>6.6195557833599331E-2</c:v>
                </c:pt>
                <c:pt idx="2">
                  <c:v>6.82994558022645E-2</c:v>
                </c:pt>
                <c:pt idx="3">
                  <c:v>9.6268584980570615E-2</c:v>
                </c:pt>
                <c:pt idx="4">
                  <c:v>2.2373472564390592E-2</c:v>
                </c:pt>
                <c:pt idx="5">
                  <c:v>0.1438996816609574</c:v>
                </c:pt>
                <c:pt idx="6">
                  <c:v>8.627439182336874E-2</c:v>
                </c:pt>
                <c:pt idx="7">
                  <c:v>7.0379136411651777E-2</c:v>
                </c:pt>
                <c:pt idx="8">
                  <c:v>5.0732500540056583E-2</c:v>
                </c:pt>
                <c:pt idx="9">
                  <c:v>3.4493195668557956E-2</c:v>
                </c:pt>
                <c:pt idx="10">
                  <c:v>8.1049441747243961E-2</c:v>
                </c:pt>
                <c:pt idx="11">
                  <c:v>6.5910150952954022E-2</c:v>
                </c:pt>
                <c:pt idx="12">
                  <c:v>0.10286946090247993</c:v>
                </c:pt>
                <c:pt idx="13">
                  <c:v>0.15822459551334428</c:v>
                </c:pt>
                <c:pt idx="14">
                  <c:v>0.1400009145617262</c:v>
                </c:pt>
                <c:pt idx="15">
                  <c:v>0.20745533618155915</c:v>
                </c:pt>
              </c:numCache>
            </c:numRef>
          </c:val>
          <c:extLst xmlns:c16r2="http://schemas.microsoft.com/office/drawing/2015/06/chart">
            <c:ext xmlns:c16="http://schemas.microsoft.com/office/drawing/2014/chart" uri="{C3380CC4-5D6E-409C-BE32-E72D297353CC}">
              <c16:uniqueId val="{00000000-8AD3-4B7F-99D9-69B86E3C7126}"/>
            </c:ext>
          </c:extLst>
        </c:ser>
        <c:ser>
          <c:idx val="1"/>
          <c:order val="1"/>
          <c:tx>
            <c:strRef>
              <c:f>Hoja1!$BA$6</c:f>
              <c:strCache>
                <c:ptCount val="1"/>
                <c:pt idx="0">
                  <c:v>2016</c:v>
                </c:pt>
              </c:strCache>
            </c:strRef>
          </c:tx>
          <c:spPr>
            <a:gradFill rotWithShape="1">
              <a:gsLst>
                <a:gs pos="0">
                  <a:schemeClr val="accent1">
                    <a:shade val="76000"/>
                    <a:satMod val="103000"/>
                    <a:lumMod val="102000"/>
                    <a:tint val="94000"/>
                  </a:schemeClr>
                </a:gs>
                <a:gs pos="50000">
                  <a:schemeClr val="accent1">
                    <a:shade val="76000"/>
                    <a:satMod val="110000"/>
                    <a:lumMod val="100000"/>
                    <a:shade val="100000"/>
                  </a:schemeClr>
                </a:gs>
                <a:gs pos="100000">
                  <a:schemeClr val="accent1">
                    <a:shade val="76000"/>
                    <a:lumMod val="99000"/>
                    <a:satMod val="120000"/>
                    <a:shade val="78000"/>
                  </a:schemeClr>
                </a:gs>
              </a:gsLst>
              <a:lin ang="5400000" scaled="0"/>
            </a:gradFill>
            <a:ln>
              <a:noFill/>
            </a:ln>
            <a:effectLst/>
          </c:spPr>
          <c:invertIfNegative val="0"/>
          <c:cat>
            <c:strRef>
              <c:f>Hoja1!$AU$7:$AU$22</c:f>
              <c:strCache>
                <c:ptCount val="16"/>
                <c:pt idx="0">
                  <c:v>BAJA CALIFORNIA</c:v>
                </c:pt>
                <c:pt idx="1">
                  <c:v>NOROESTE</c:v>
                </c:pt>
                <c:pt idx="2">
                  <c:v>NORTE</c:v>
                </c:pt>
                <c:pt idx="3">
                  <c:v>GOLFO NORTE</c:v>
                </c:pt>
                <c:pt idx="4">
                  <c:v>CENTRO OCCIDENTE</c:v>
                </c:pt>
                <c:pt idx="5">
                  <c:v>CENTRO SUR</c:v>
                </c:pt>
                <c:pt idx="6">
                  <c:v>ORIENTE</c:v>
                </c:pt>
                <c:pt idx="7">
                  <c:v>SURESTE</c:v>
                </c:pt>
                <c:pt idx="8">
                  <c:v>BAJIO</c:v>
                </c:pt>
                <c:pt idx="9">
                  <c:v>GOLFO CENTRO</c:v>
                </c:pt>
                <c:pt idx="10">
                  <c:v>CENTRO ORIENTE</c:v>
                </c:pt>
                <c:pt idx="11">
                  <c:v>PENINSULAR</c:v>
                </c:pt>
                <c:pt idx="12">
                  <c:v>JALISCO</c:v>
                </c:pt>
                <c:pt idx="13">
                  <c:v>VALLE MEXICO NTE</c:v>
                </c:pt>
                <c:pt idx="14">
                  <c:v>VALLE MEXICO CENT</c:v>
                </c:pt>
                <c:pt idx="15">
                  <c:v>VALLE MEXICO SUR</c:v>
                </c:pt>
              </c:strCache>
            </c:strRef>
          </c:cat>
          <c:val>
            <c:numRef>
              <c:f>Hoja1!$BA$7:$BA$22</c:f>
              <c:numCache>
                <c:formatCode>0.0%</c:formatCode>
                <c:ptCount val="16"/>
                <c:pt idx="0">
                  <c:v>3.8570282260796555E-2</c:v>
                </c:pt>
                <c:pt idx="1">
                  <c:v>6.6195557833599331E-2</c:v>
                </c:pt>
                <c:pt idx="2">
                  <c:v>6.82994558022645E-2</c:v>
                </c:pt>
                <c:pt idx="3">
                  <c:v>9.6268584980570615E-2</c:v>
                </c:pt>
                <c:pt idx="4">
                  <c:v>2.2373472564390592E-2</c:v>
                </c:pt>
                <c:pt idx="5">
                  <c:v>0.1438996816609574</c:v>
                </c:pt>
                <c:pt idx="6">
                  <c:v>8.627439182336874E-2</c:v>
                </c:pt>
                <c:pt idx="7">
                  <c:v>7.0379136411651777E-2</c:v>
                </c:pt>
                <c:pt idx="8">
                  <c:v>5.0732500540056583E-2</c:v>
                </c:pt>
                <c:pt idx="9">
                  <c:v>3.4493195668557956E-2</c:v>
                </c:pt>
                <c:pt idx="10">
                  <c:v>8.1049441747243961E-2</c:v>
                </c:pt>
                <c:pt idx="11">
                  <c:v>6.5910150952954022E-2</c:v>
                </c:pt>
                <c:pt idx="12">
                  <c:v>0.10286946090247993</c:v>
                </c:pt>
                <c:pt idx="13">
                  <c:v>0.15822459551334428</c:v>
                </c:pt>
                <c:pt idx="14">
                  <c:v>0.1400009145617262</c:v>
                </c:pt>
                <c:pt idx="15">
                  <c:v>0.20745533618155915</c:v>
                </c:pt>
              </c:numCache>
            </c:numRef>
          </c:val>
          <c:extLst xmlns:c16r2="http://schemas.microsoft.com/office/drawing/2015/06/chart">
            <c:ext xmlns:c16="http://schemas.microsoft.com/office/drawing/2014/chart" uri="{C3380CC4-5D6E-409C-BE32-E72D297353CC}">
              <c16:uniqueId val="{00000001-8AD3-4B7F-99D9-69B86E3C7126}"/>
            </c:ext>
          </c:extLst>
        </c:ser>
        <c:ser>
          <c:idx val="2"/>
          <c:order val="2"/>
          <c:tx>
            <c:strRef>
              <c:f>Hoja1!$BB$6</c:f>
              <c:strCache>
                <c:ptCount val="1"/>
                <c:pt idx="0">
                  <c:v>2017</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Hoja1!$AU$7:$AU$22</c:f>
              <c:strCache>
                <c:ptCount val="16"/>
                <c:pt idx="0">
                  <c:v>BAJA CALIFORNIA</c:v>
                </c:pt>
                <c:pt idx="1">
                  <c:v>NOROESTE</c:v>
                </c:pt>
                <c:pt idx="2">
                  <c:v>NORTE</c:v>
                </c:pt>
                <c:pt idx="3">
                  <c:v>GOLFO NORTE</c:v>
                </c:pt>
                <c:pt idx="4">
                  <c:v>CENTRO OCCIDENTE</c:v>
                </c:pt>
                <c:pt idx="5">
                  <c:v>CENTRO SUR</c:v>
                </c:pt>
                <c:pt idx="6">
                  <c:v>ORIENTE</c:v>
                </c:pt>
                <c:pt idx="7">
                  <c:v>SURESTE</c:v>
                </c:pt>
                <c:pt idx="8">
                  <c:v>BAJIO</c:v>
                </c:pt>
                <c:pt idx="9">
                  <c:v>GOLFO CENTRO</c:v>
                </c:pt>
                <c:pt idx="10">
                  <c:v>CENTRO ORIENTE</c:v>
                </c:pt>
                <c:pt idx="11">
                  <c:v>PENINSULAR</c:v>
                </c:pt>
                <c:pt idx="12">
                  <c:v>JALISCO</c:v>
                </c:pt>
                <c:pt idx="13">
                  <c:v>VALLE MEXICO NTE</c:v>
                </c:pt>
                <c:pt idx="14">
                  <c:v>VALLE MEXICO CENT</c:v>
                </c:pt>
                <c:pt idx="15">
                  <c:v>VALLE MEXICO SUR</c:v>
                </c:pt>
              </c:strCache>
            </c:strRef>
          </c:cat>
          <c:val>
            <c:numRef>
              <c:f>Hoja1!$BB$7:$BB$22</c:f>
              <c:numCache>
                <c:formatCode>0.0%</c:formatCode>
                <c:ptCount val="16"/>
                <c:pt idx="0">
                  <c:v>3.8570282260796555E-2</c:v>
                </c:pt>
                <c:pt idx="1">
                  <c:v>0.05</c:v>
                </c:pt>
                <c:pt idx="2">
                  <c:v>0.05</c:v>
                </c:pt>
                <c:pt idx="3">
                  <c:v>7.1268584980570621E-2</c:v>
                </c:pt>
                <c:pt idx="4">
                  <c:v>2.2373472564390592E-2</c:v>
                </c:pt>
                <c:pt idx="5">
                  <c:v>0.11889968166095741</c:v>
                </c:pt>
                <c:pt idx="6">
                  <c:v>6.1274391823368739E-2</c:v>
                </c:pt>
                <c:pt idx="7">
                  <c:v>0.05</c:v>
                </c:pt>
                <c:pt idx="8">
                  <c:v>0.05</c:v>
                </c:pt>
                <c:pt idx="9">
                  <c:v>3.4493195668557956E-2</c:v>
                </c:pt>
                <c:pt idx="10">
                  <c:v>5.604944174724396E-2</c:v>
                </c:pt>
                <c:pt idx="11">
                  <c:v>0.05</c:v>
                </c:pt>
                <c:pt idx="12">
                  <c:v>7.7869460902479926E-2</c:v>
                </c:pt>
                <c:pt idx="13">
                  <c:v>0.13322459551334428</c:v>
                </c:pt>
                <c:pt idx="14">
                  <c:v>0.1150009145617262</c:v>
                </c:pt>
                <c:pt idx="15">
                  <c:v>0.18245533618155915</c:v>
                </c:pt>
              </c:numCache>
            </c:numRef>
          </c:val>
          <c:extLst xmlns:c16r2="http://schemas.microsoft.com/office/drawing/2015/06/chart">
            <c:ext xmlns:c16="http://schemas.microsoft.com/office/drawing/2014/chart" uri="{C3380CC4-5D6E-409C-BE32-E72D297353CC}">
              <c16:uniqueId val="{00000002-8AD3-4B7F-99D9-69B86E3C7126}"/>
            </c:ext>
          </c:extLst>
        </c:ser>
        <c:ser>
          <c:idx val="3"/>
          <c:order val="3"/>
          <c:tx>
            <c:strRef>
              <c:f>Hoja1!$BC$6</c:f>
              <c:strCache>
                <c:ptCount val="1"/>
                <c:pt idx="0">
                  <c:v>2018</c:v>
                </c:pt>
              </c:strCache>
            </c:strRef>
          </c:tx>
          <c:spPr>
            <a:gradFill rotWithShape="1">
              <a:gsLst>
                <a:gs pos="0">
                  <a:schemeClr val="accent1">
                    <a:tint val="77000"/>
                    <a:satMod val="103000"/>
                    <a:lumMod val="102000"/>
                    <a:tint val="94000"/>
                  </a:schemeClr>
                </a:gs>
                <a:gs pos="50000">
                  <a:schemeClr val="accent1">
                    <a:tint val="77000"/>
                    <a:satMod val="110000"/>
                    <a:lumMod val="100000"/>
                    <a:shade val="100000"/>
                  </a:schemeClr>
                </a:gs>
                <a:gs pos="100000">
                  <a:schemeClr val="accent1">
                    <a:tint val="77000"/>
                    <a:lumMod val="99000"/>
                    <a:satMod val="120000"/>
                    <a:shade val="78000"/>
                  </a:schemeClr>
                </a:gs>
              </a:gsLst>
              <a:lin ang="5400000" scaled="0"/>
            </a:gradFill>
            <a:ln>
              <a:noFill/>
            </a:ln>
            <a:effectLst/>
          </c:spPr>
          <c:invertIfNegative val="0"/>
          <c:cat>
            <c:strRef>
              <c:f>Hoja1!$AU$7:$AU$22</c:f>
              <c:strCache>
                <c:ptCount val="16"/>
                <c:pt idx="0">
                  <c:v>BAJA CALIFORNIA</c:v>
                </c:pt>
                <c:pt idx="1">
                  <c:v>NOROESTE</c:v>
                </c:pt>
                <c:pt idx="2">
                  <c:v>NORTE</c:v>
                </c:pt>
                <c:pt idx="3">
                  <c:v>GOLFO NORTE</c:v>
                </c:pt>
                <c:pt idx="4">
                  <c:v>CENTRO OCCIDENTE</c:v>
                </c:pt>
                <c:pt idx="5">
                  <c:v>CENTRO SUR</c:v>
                </c:pt>
                <c:pt idx="6">
                  <c:v>ORIENTE</c:v>
                </c:pt>
                <c:pt idx="7">
                  <c:v>SURESTE</c:v>
                </c:pt>
                <c:pt idx="8">
                  <c:v>BAJIO</c:v>
                </c:pt>
                <c:pt idx="9">
                  <c:v>GOLFO CENTRO</c:v>
                </c:pt>
                <c:pt idx="10">
                  <c:v>CENTRO ORIENTE</c:v>
                </c:pt>
                <c:pt idx="11">
                  <c:v>PENINSULAR</c:v>
                </c:pt>
                <c:pt idx="12">
                  <c:v>JALISCO</c:v>
                </c:pt>
                <c:pt idx="13">
                  <c:v>VALLE MEXICO NTE</c:v>
                </c:pt>
                <c:pt idx="14">
                  <c:v>VALLE MEXICO CENT</c:v>
                </c:pt>
                <c:pt idx="15">
                  <c:v>VALLE MEXICO SUR</c:v>
                </c:pt>
              </c:strCache>
            </c:strRef>
          </c:cat>
          <c:val>
            <c:numRef>
              <c:f>Hoja1!$BC$7:$BC$22</c:f>
              <c:numCache>
                <c:formatCode>0.0%</c:formatCode>
                <c:ptCount val="16"/>
                <c:pt idx="0">
                  <c:v>3.8570282260796555E-2</c:v>
                </c:pt>
                <c:pt idx="1">
                  <c:v>0.05</c:v>
                </c:pt>
                <c:pt idx="2">
                  <c:v>0.05</c:v>
                </c:pt>
                <c:pt idx="3">
                  <c:v>0.05</c:v>
                </c:pt>
                <c:pt idx="4">
                  <c:v>2.2373472564390592E-2</c:v>
                </c:pt>
                <c:pt idx="5">
                  <c:v>9.3899681660957413E-2</c:v>
                </c:pt>
                <c:pt idx="6">
                  <c:v>0.05</c:v>
                </c:pt>
                <c:pt idx="7">
                  <c:v>0.05</c:v>
                </c:pt>
                <c:pt idx="8">
                  <c:v>0.05</c:v>
                </c:pt>
                <c:pt idx="9">
                  <c:v>3.4493195668557956E-2</c:v>
                </c:pt>
                <c:pt idx="10">
                  <c:v>0.05</c:v>
                </c:pt>
                <c:pt idx="11">
                  <c:v>0.05</c:v>
                </c:pt>
                <c:pt idx="12">
                  <c:v>5.2869460902479924E-2</c:v>
                </c:pt>
                <c:pt idx="13">
                  <c:v>0.10822459551334429</c:v>
                </c:pt>
                <c:pt idx="14">
                  <c:v>9.0000914561726209E-2</c:v>
                </c:pt>
                <c:pt idx="15">
                  <c:v>0.15745533618155916</c:v>
                </c:pt>
              </c:numCache>
            </c:numRef>
          </c:val>
          <c:extLst xmlns:c16r2="http://schemas.microsoft.com/office/drawing/2015/06/chart">
            <c:ext xmlns:c16="http://schemas.microsoft.com/office/drawing/2014/chart" uri="{C3380CC4-5D6E-409C-BE32-E72D297353CC}">
              <c16:uniqueId val="{00000003-8AD3-4B7F-99D9-69B86E3C7126}"/>
            </c:ext>
          </c:extLst>
        </c:ser>
        <c:dLbls>
          <c:showLegendKey val="0"/>
          <c:showVal val="0"/>
          <c:showCatName val="0"/>
          <c:showSerName val="0"/>
          <c:showPercent val="0"/>
          <c:showBubbleSize val="0"/>
        </c:dLbls>
        <c:gapWidth val="100"/>
        <c:overlap val="-24"/>
        <c:axId val="362804720"/>
        <c:axId val="362803152"/>
      </c:barChart>
      <c:lineChart>
        <c:grouping val="stacked"/>
        <c:varyColors val="0"/>
        <c:ser>
          <c:idx val="4"/>
          <c:order val="4"/>
          <c:tx>
            <c:v>Valor máximo reconocido</c:v>
          </c:tx>
          <c:spPr>
            <a:ln w="31750" cap="rnd">
              <a:solidFill>
                <a:schemeClr val="accent6">
                  <a:lumMod val="75000"/>
                </a:schemeClr>
              </a:solidFill>
              <a:round/>
            </a:ln>
            <a:effectLst/>
          </c:spPr>
          <c:marker>
            <c:symbol val="circle"/>
            <c:size val="6"/>
            <c:spPr>
              <a:solidFill>
                <a:schemeClr val="accent6">
                  <a:lumMod val="75000"/>
                </a:schemeClr>
              </a:solidFill>
              <a:ln w="12700">
                <a:solidFill>
                  <a:schemeClr val="accent6">
                    <a:lumMod val="75000"/>
                  </a:schemeClr>
                </a:solidFill>
                <a:round/>
              </a:ln>
              <a:effectLst/>
            </c:spPr>
          </c:marker>
          <c:val>
            <c:numRef>
              <c:f>Hoja1!$BE$7:$BE$22</c:f>
              <c:numCache>
                <c:formatCode>0%</c:formatCode>
                <c:ptCount val="16"/>
                <c:pt idx="0">
                  <c:v>0.05</c:v>
                </c:pt>
                <c:pt idx="1">
                  <c:v>0.05</c:v>
                </c:pt>
                <c:pt idx="2">
                  <c:v>0.05</c:v>
                </c:pt>
                <c:pt idx="3">
                  <c:v>0.05</c:v>
                </c:pt>
                <c:pt idx="4">
                  <c:v>0.05</c:v>
                </c:pt>
                <c:pt idx="5">
                  <c:v>0.05</c:v>
                </c:pt>
                <c:pt idx="6">
                  <c:v>0.05</c:v>
                </c:pt>
                <c:pt idx="7">
                  <c:v>0.05</c:v>
                </c:pt>
                <c:pt idx="8">
                  <c:v>0.05</c:v>
                </c:pt>
                <c:pt idx="9">
                  <c:v>0.05</c:v>
                </c:pt>
                <c:pt idx="10">
                  <c:v>0.05</c:v>
                </c:pt>
                <c:pt idx="11">
                  <c:v>0.05</c:v>
                </c:pt>
                <c:pt idx="12">
                  <c:v>0.05</c:v>
                </c:pt>
                <c:pt idx="13">
                  <c:v>0.05</c:v>
                </c:pt>
                <c:pt idx="14">
                  <c:v>0.05</c:v>
                </c:pt>
                <c:pt idx="15">
                  <c:v>0.05</c:v>
                </c:pt>
              </c:numCache>
            </c:numRef>
          </c:val>
          <c:smooth val="0"/>
          <c:extLst xmlns:c16r2="http://schemas.microsoft.com/office/drawing/2015/06/chart">
            <c:ext xmlns:c16="http://schemas.microsoft.com/office/drawing/2014/chart" uri="{C3380CC4-5D6E-409C-BE32-E72D297353CC}">
              <c16:uniqueId val="{00000004-8AD3-4B7F-99D9-69B86E3C7126}"/>
            </c:ext>
          </c:extLst>
        </c:ser>
        <c:dLbls>
          <c:showLegendKey val="0"/>
          <c:showVal val="0"/>
          <c:showCatName val="0"/>
          <c:showSerName val="0"/>
          <c:showPercent val="0"/>
          <c:showBubbleSize val="0"/>
        </c:dLbls>
        <c:marker val="1"/>
        <c:smooth val="0"/>
        <c:axId val="362804720"/>
        <c:axId val="362803152"/>
      </c:lineChart>
      <c:catAx>
        <c:axId val="36280472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2"/>
                </a:solidFill>
                <a:latin typeface="Arial Narrow" panose="020B0606020202030204" pitchFamily="34" charset="0"/>
                <a:ea typeface="+mn-ea"/>
                <a:cs typeface="+mn-cs"/>
              </a:defRPr>
            </a:pPr>
            <a:endParaRPr lang="es-MX"/>
          </a:p>
        </c:txPr>
        <c:crossAx val="362803152"/>
        <c:crosses val="autoZero"/>
        <c:auto val="1"/>
        <c:lblAlgn val="ctr"/>
        <c:lblOffset val="100"/>
        <c:noMultiLvlLbl val="0"/>
      </c:catAx>
      <c:valAx>
        <c:axId val="362803152"/>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2"/>
                </a:solidFill>
                <a:latin typeface="Arial Narrow" panose="020B0606020202030204" pitchFamily="34" charset="0"/>
                <a:ea typeface="+mn-ea"/>
                <a:cs typeface="+mn-cs"/>
              </a:defRPr>
            </a:pPr>
            <a:endParaRPr lang="es-MX"/>
          </a:p>
        </c:txPr>
        <c:crossAx val="362804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2"/>
              </a:solidFill>
              <a:latin typeface="Arial Narrow" panose="020B0606020202030204" pitchFamily="34" charset="0"/>
              <a:ea typeface="+mn-ea"/>
              <a:cs typeface="+mn-cs"/>
            </a:defRPr>
          </a:pPr>
          <a:endParaRPr lang="es-MX"/>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800">
          <a:latin typeface="Arial Narrow" panose="020B0606020202030204" pitchFamily="34" charset="0"/>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66DE6-9ED2-4E2E-B7E3-817FEE50D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6557</Words>
  <Characters>36069</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Alberto Flores Valencia</dc:creator>
  <cp:keywords/>
  <dc:description/>
  <cp:lastModifiedBy>Alejandro Adame Ramirez</cp:lastModifiedBy>
  <cp:revision>8</cp:revision>
  <dcterms:created xsi:type="dcterms:W3CDTF">2016-02-16T15:52:00Z</dcterms:created>
  <dcterms:modified xsi:type="dcterms:W3CDTF">2016-02-16T23:03:00Z</dcterms:modified>
</cp:coreProperties>
</file>