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39B" w:rsidRDefault="00E7039B" w:rsidP="00E7039B">
      <w:pPr>
        <w:jc w:val="center"/>
        <w:rPr>
          <w:rFonts w:asciiTheme="majorHAnsi" w:hAnsiTheme="majorHAnsi"/>
          <w:b/>
          <w:bCs/>
        </w:rPr>
      </w:pPr>
    </w:p>
    <w:p w:rsidR="00E7039B" w:rsidRPr="00E7039B" w:rsidRDefault="00E7039B" w:rsidP="00E7039B">
      <w:pPr>
        <w:spacing w:after="0" w:line="276" w:lineRule="auto"/>
        <w:jc w:val="center"/>
        <w:rPr>
          <w:rFonts w:asciiTheme="majorHAnsi" w:hAnsiTheme="majorHAnsi"/>
          <w:b/>
          <w:bCs/>
          <w:color w:val="1F497D" w:themeColor="text2"/>
          <w:sz w:val="32"/>
          <w:szCs w:val="32"/>
        </w:rPr>
      </w:pPr>
      <w:r w:rsidRPr="00E7039B">
        <w:rPr>
          <w:rFonts w:asciiTheme="majorHAnsi" w:hAnsiTheme="majorHAnsi"/>
          <w:b/>
          <w:bCs/>
          <w:color w:val="1F497D" w:themeColor="text2"/>
          <w:sz w:val="32"/>
          <w:szCs w:val="32"/>
        </w:rPr>
        <w:t>SEGUNDA SESIÓN ORDINARIA</w:t>
      </w:r>
    </w:p>
    <w:p w:rsidR="00E7039B" w:rsidRDefault="00E7039B" w:rsidP="00E7039B">
      <w:pPr>
        <w:spacing w:after="0" w:line="276" w:lineRule="auto"/>
        <w:jc w:val="center"/>
        <w:rPr>
          <w:rFonts w:asciiTheme="majorHAnsi" w:hAnsiTheme="majorHAnsi"/>
          <w:b/>
          <w:bCs/>
        </w:rPr>
      </w:pPr>
      <w:r>
        <w:rPr>
          <w:rFonts w:asciiTheme="majorHAnsi" w:hAnsiTheme="majorHAnsi"/>
          <w:b/>
          <w:bCs/>
        </w:rPr>
        <w:t>Lunes 23 de noviembre de 2015</w:t>
      </w:r>
    </w:p>
    <w:p w:rsidR="00E7039B" w:rsidRDefault="00E7039B" w:rsidP="00E7039B">
      <w:pPr>
        <w:spacing w:after="0" w:line="276" w:lineRule="auto"/>
        <w:jc w:val="center"/>
        <w:rPr>
          <w:rFonts w:asciiTheme="majorHAnsi" w:hAnsiTheme="majorHAnsi"/>
          <w:b/>
          <w:bCs/>
        </w:rPr>
      </w:pPr>
      <w:r>
        <w:rPr>
          <w:rFonts w:asciiTheme="majorHAnsi" w:hAnsiTheme="majorHAnsi"/>
          <w:b/>
          <w:bCs/>
        </w:rPr>
        <w:t>11:00 a 14:00 horas</w:t>
      </w:r>
    </w:p>
    <w:p w:rsidR="00E7039B" w:rsidRDefault="00915B58" w:rsidP="00915B58">
      <w:pPr>
        <w:tabs>
          <w:tab w:val="left" w:pos="5640"/>
        </w:tabs>
        <w:rPr>
          <w:rFonts w:asciiTheme="majorHAnsi" w:hAnsiTheme="majorHAnsi"/>
          <w:b/>
          <w:bCs/>
        </w:rPr>
      </w:pPr>
      <w:r>
        <w:rPr>
          <w:rFonts w:asciiTheme="majorHAnsi" w:hAnsiTheme="majorHAnsi"/>
          <w:b/>
          <w:bCs/>
        </w:rPr>
        <w:tab/>
      </w:r>
    </w:p>
    <w:p w:rsidR="00E7039B" w:rsidRDefault="00795A1D" w:rsidP="00E7039B">
      <w:pPr>
        <w:jc w:val="center"/>
        <w:rPr>
          <w:rFonts w:asciiTheme="majorHAnsi" w:hAnsiTheme="majorHAnsi"/>
          <w:b/>
          <w:bCs/>
          <w:color w:val="1F497D" w:themeColor="text2"/>
          <w:sz w:val="32"/>
          <w:szCs w:val="32"/>
        </w:rPr>
      </w:pPr>
      <w:r>
        <w:rPr>
          <w:rFonts w:asciiTheme="majorHAnsi" w:hAnsiTheme="majorHAnsi"/>
          <w:b/>
          <w:bCs/>
          <w:color w:val="1F497D" w:themeColor="text2"/>
          <w:sz w:val="32"/>
          <w:szCs w:val="32"/>
        </w:rPr>
        <w:t>ACUERDOS</w:t>
      </w:r>
    </w:p>
    <w:p w:rsidR="004B3E46" w:rsidRDefault="004B3E46" w:rsidP="004B3E46">
      <w:pPr>
        <w:pStyle w:val="Prrafodelista"/>
        <w:numPr>
          <w:ilvl w:val="0"/>
          <w:numId w:val="2"/>
        </w:numPr>
        <w:ind w:left="426" w:hanging="426"/>
        <w:jc w:val="both"/>
        <w:rPr>
          <w:rFonts w:asciiTheme="majorHAnsi" w:hAnsiTheme="majorHAnsi"/>
          <w:bCs/>
          <w:color w:val="1F497D" w:themeColor="text2"/>
          <w:sz w:val="24"/>
          <w:szCs w:val="24"/>
        </w:rPr>
      </w:pPr>
      <w:r w:rsidRPr="00E96AA2">
        <w:rPr>
          <w:rFonts w:asciiTheme="majorHAnsi" w:hAnsiTheme="majorHAnsi"/>
          <w:bCs/>
          <w:color w:val="1F497D" w:themeColor="text2"/>
          <w:sz w:val="24"/>
          <w:szCs w:val="24"/>
        </w:rPr>
        <w:t>“(…) la Comisión proporcionará estos estudios 2004-2008 a fin de que el Consejo Consultivo proporcione comentarios sobre su contenido.”</w:t>
      </w:r>
    </w:p>
    <w:p w:rsidR="004B3E46" w:rsidRPr="00E96AA2" w:rsidRDefault="004B3E46" w:rsidP="004B3E46">
      <w:pPr>
        <w:pStyle w:val="Prrafodelista"/>
        <w:ind w:left="426"/>
        <w:jc w:val="both"/>
        <w:rPr>
          <w:rFonts w:asciiTheme="majorHAnsi" w:hAnsiTheme="majorHAnsi"/>
          <w:bCs/>
          <w:color w:val="1F497D" w:themeColor="text2"/>
          <w:sz w:val="24"/>
          <w:szCs w:val="24"/>
        </w:rPr>
      </w:pPr>
    </w:p>
    <w:p w:rsidR="004B3E46" w:rsidRDefault="004B3E46" w:rsidP="004B3E46">
      <w:pPr>
        <w:pStyle w:val="Prrafodelista"/>
        <w:numPr>
          <w:ilvl w:val="0"/>
          <w:numId w:val="2"/>
        </w:numPr>
        <w:ind w:left="426" w:hanging="426"/>
        <w:jc w:val="both"/>
        <w:rPr>
          <w:rFonts w:asciiTheme="majorHAnsi" w:hAnsiTheme="majorHAnsi"/>
          <w:bCs/>
          <w:color w:val="1F497D" w:themeColor="text2"/>
          <w:sz w:val="24"/>
          <w:szCs w:val="24"/>
        </w:rPr>
      </w:pPr>
      <w:r w:rsidRPr="00E96AA2">
        <w:rPr>
          <w:rFonts w:asciiTheme="majorHAnsi" w:hAnsiTheme="majorHAnsi"/>
          <w:bCs/>
          <w:color w:val="1F497D" w:themeColor="text2"/>
          <w:sz w:val="24"/>
          <w:szCs w:val="24"/>
        </w:rPr>
        <w:t>“(…) abundar sobre algunos puntos de las disposiciones administrativas de carácter general que se han enviado a fin de que tengamos un mejor entendimiento y podamos reaccionar a estas.”</w:t>
      </w:r>
    </w:p>
    <w:p w:rsidR="004B3E46" w:rsidRPr="00E96AA2" w:rsidRDefault="004B3E46" w:rsidP="004B3E46">
      <w:pPr>
        <w:pStyle w:val="Prrafodelista"/>
        <w:rPr>
          <w:rFonts w:asciiTheme="majorHAnsi" w:hAnsiTheme="majorHAnsi"/>
          <w:bCs/>
          <w:color w:val="1F497D" w:themeColor="text2"/>
          <w:sz w:val="24"/>
          <w:szCs w:val="24"/>
        </w:rPr>
      </w:pPr>
    </w:p>
    <w:p w:rsidR="004B3E46" w:rsidRDefault="004B3E46" w:rsidP="004B3E46">
      <w:pPr>
        <w:pStyle w:val="Prrafodelista"/>
        <w:numPr>
          <w:ilvl w:val="0"/>
          <w:numId w:val="2"/>
        </w:numPr>
        <w:ind w:left="426" w:hanging="426"/>
        <w:jc w:val="both"/>
        <w:rPr>
          <w:rFonts w:asciiTheme="majorHAnsi" w:hAnsiTheme="majorHAnsi"/>
          <w:bCs/>
          <w:color w:val="1F497D" w:themeColor="text2"/>
          <w:sz w:val="24"/>
          <w:szCs w:val="24"/>
        </w:rPr>
      </w:pPr>
      <w:r w:rsidRPr="00E96AA2">
        <w:rPr>
          <w:rFonts w:asciiTheme="majorHAnsi" w:hAnsiTheme="majorHAnsi"/>
          <w:bCs/>
          <w:color w:val="1F497D" w:themeColor="text2"/>
          <w:sz w:val="24"/>
          <w:szCs w:val="24"/>
        </w:rPr>
        <w:t>“(…)</w:t>
      </w:r>
      <w:r w:rsidRPr="00E96AA2">
        <w:rPr>
          <w:rFonts w:asciiTheme="majorHAnsi" w:eastAsiaTheme="minorEastAsia" w:hAnsiTheme="majorHAnsi" w:cstheme="minorBidi"/>
          <w:bCs/>
          <w:color w:val="1F497D" w:themeColor="text2"/>
          <w:sz w:val="24"/>
          <w:szCs w:val="24"/>
          <w:lang w:val="es-ES_tradnl" w:eastAsia="ja-JP"/>
        </w:rPr>
        <w:t xml:space="preserve"> </w:t>
      </w:r>
      <w:r w:rsidRPr="00E96AA2">
        <w:rPr>
          <w:rFonts w:asciiTheme="majorHAnsi" w:hAnsiTheme="majorHAnsi"/>
          <w:bCs/>
          <w:color w:val="1F497D" w:themeColor="text2"/>
          <w:sz w:val="24"/>
          <w:szCs w:val="24"/>
        </w:rPr>
        <w:t>tener una reunión conjunta del Consejo Consultivo de Hidrocarburos y de Electricidad a fin de tocar varios temas que son de común acuerdo, de relevancia común.”</w:t>
      </w:r>
    </w:p>
    <w:p w:rsidR="004B3E46" w:rsidRPr="00E96AA2" w:rsidRDefault="004B3E46" w:rsidP="004B3E46">
      <w:pPr>
        <w:pStyle w:val="Prrafodelista"/>
        <w:rPr>
          <w:rFonts w:asciiTheme="majorHAnsi" w:hAnsiTheme="majorHAnsi"/>
          <w:bCs/>
          <w:color w:val="1F497D" w:themeColor="text2"/>
          <w:sz w:val="24"/>
          <w:szCs w:val="24"/>
        </w:rPr>
      </w:pPr>
    </w:p>
    <w:p w:rsidR="004B3E46" w:rsidRDefault="004B3E46" w:rsidP="004B3E46">
      <w:pPr>
        <w:pStyle w:val="Prrafodelista"/>
        <w:numPr>
          <w:ilvl w:val="0"/>
          <w:numId w:val="2"/>
        </w:numPr>
        <w:ind w:left="426" w:hanging="426"/>
        <w:jc w:val="both"/>
        <w:rPr>
          <w:rFonts w:asciiTheme="majorHAnsi" w:hAnsiTheme="majorHAnsi"/>
          <w:bCs/>
          <w:color w:val="1F497D" w:themeColor="text2"/>
          <w:sz w:val="24"/>
          <w:szCs w:val="24"/>
        </w:rPr>
      </w:pPr>
      <w:r w:rsidRPr="00E96AA2">
        <w:rPr>
          <w:rFonts w:asciiTheme="majorHAnsi" w:hAnsiTheme="majorHAnsi"/>
          <w:bCs/>
          <w:color w:val="1F497D" w:themeColor="text2"/>
          <w:sz w:val="24"/>
          <w:szCs w:val="24"/>
        </w:rPr>
        <w:t>“(…)  la Comisión toma nota digamos de la recomendación de esta propuesta de Usuarios Calificables y que la valorará en sus propios méritos.”</w:t>
      </w:r>
    </w:p>
    <w:p w:rsidR="004B3E46" w:rsidRPr="00E96AA2" w:rsidRDefault="004B3E46" w:rsidP="004B3E46">
      <w:pPr>
        <w:pStyle w:val="Prrafodelista"/>
        <w:rPr>
          <w:rFonts w:asciiTheme="majorHAnsi" w:hAnsiTheme="majorHAnsi"/>
          <w:bCs/>
          <w:color w:val="1F497D" w:themeColor="text2"/>
          <w:sz w:val="24"/>
          <w:szCs w:val="24"/>
        </w:rPr>
      </w:pPr>
    </w:p>
    <w:p w:rsidR="004B3E46" w:rsidRPr="00E96AA2" w:rsidRDefault="004B3E46" w:rsidP="004B3E46">
      <w:pPr>
        <w:pStyle w:val="Prrafodelista"/>
        <w:numPr>
          <w:ilvl w:val="0"/>
          <w:numId w:val="2"/>
        </w:numPr>
        <w:ind w:left="426" w:hanging="426"/>
        <w:jc w:val="both"/>
        <w:rPr>
          <w:rFonts w:asciiTheme="majorHAnsi" w:hAnsiTheme="majorHAnsi"/>
          <w:bCs/>
          <w:color w:val="1F497D" w:themeColor="text2"/>
          <w:sz w:val="24"/>
          <w:szCs w:val="24"/>
        </w:rPr>
      </w:pPr>
      <w:r w:rsidRPr="00E96AA2">
        <w:rPr>
          <w:rFonts w:asciiTheme="majorHAnsi" w:hAnsiTheme="majorHAnsi"/>
          <w:bCs/>
          <w:color w:val="1F497D" w:themeColor="text2"/>
          <w:sz w:val="24"/>
          <w:szCs w:val="24"/>
        </w:rPr>
        <w:t xml:space="preserve">“(…) de las observaciones que nos están haciendo de las </w:t>
      </w:r>
      <w:proofErr w:type="spellStart"/>
      <w:r w:rsidRPr="00E96AA2">
        <w:rPr>
          <w:rFonts w:asciiTheme="majorHAnsi" w:hAnsiTheme="majorHAnsi"/>
          <w:bCs/>
          <w:color w:val="1F497D" w:themeColor="text2"/>
          <w:sz w:val="24"/>
          <w:szCs w:val="24"/>
        </w:rPr>
        <w:t>DACG´s</w:t>
      </w:r>
      <w:proofErr w:type="spellEnd"/>
      <w:r w:rsidRPr="00E96AA2">
        <w:rPr>
          <w:rFonts w:asciiTheme="majorHAnsi" w:hAnsiTheme="majorHAnsi"/>
          <w:bCs/>
          <w:color w:val="1F497D" w:themeColor="text2"/>
          <w:sz w:val="24"/>
          <w:szCs w:val="24"/>
        </w:rPr>
        <w:t>, que nos pudieran poner alguna sugerencia de cómo resolver algunos de los temas en donde los tenga (…) con ejemplos, incluso porque traen ustedes ejemplos de sus industrias, empresas de lo que está pasando.</w:t>
      </w:r>
    </w:p>
    <w:p w:rsidR="004B3E46" w:rsidRDefault="004B3E46" w:rsidP="004B3E46">
      <w:pPr>
        <w:jc w:val="both"/>
        <w:rPr>
          <w:rFonts w:asciiTheme="majorHAnsi" w:hAnsiTheme="majorHAnsi"/>
          <w:bCs/>
          <w:color w:val="1F497D" w:themeColor="text2"/>
        </w:rPr>
      </w:pPr>
    </w:p>
    <w:p w:rsidR="004B3E46" w:rsidRDefault="004B3E46" w:rsidP="004B3E46">
      <w:pPr>
        <w:jc w:val="both"/>
        <w:rPr>
          <w:rFonts w:asciiTheme="majorHAnsi" w:hAnsiTheme="majorHAnsi"/>
          <w:bCs/>
          <w:color w:val="1F497D" w:themeColor="text2"/>
        </w:rPr>
      </w:pPr>
    </w:p>
    <w:p w:rsidR="004B3E46" w:rsidRDefault="004B3E46" w:rsidP="004B3E46">
      <w:pPr>
        <w:jc w:val="both"/>
        <w:rPr>
          <w:rFonts w:asciiTheme="majorHAnsi" w:hAnsiTheme="majorHAnsi"/>
          <w:bCs/>
          <w:color w:val="1F497D" w:themeColor="text2"/>
        </w:rPr>
      </w:pPr>
      <w:r>
        <w:rPr>
          <w:rFonts w:asciiTheme="majorHAnsi" w:hAnsiTheme="majorHAnsi"/>
          <w:bCs/>
          <w:color w:val="1F497D" w:themeColor="text2"/>
        </w:rPr>
        <w:t>Fuente: Versión estenográfica de la sesión, pág. 54.</w:t>
      </w:r>
    </w:p>
    <w:p w:rsidR="004B3E46" w:rsidRDefault="004B3E46" w:rsidP="00E7039B">
      <w:pPr>
        <w:jc w:val="center"/>
        <w:rPr>
          <w:rFonts w:asciiTheme="majorHAnsi" w:hAnsiTheme="majorHAnsi"/>
          <w:b/>
          <w:bCs/>
          <w:color w:val="1F497D" w:themeColor="text2"/>
          <w:sz w:val="32"/>
          <w:szCs w:val="32"/>
        </w:rPr>
      </w:pPr>
    </w:p>
    <w:p w:rsidR="004B3E46" w:rsidRPr="00E7039B" w:rsidRDefault="004B3E46" w:rsidP="00E7039B">
      <w:pPr>
        <w:jc w:val="center"/>
        <w:rPr>
          <w:rFonts w:asciiTheme="majorHAnsi" w:hAnsiTheme="majorHAnsi"/>
          <w:b/>
          <w:bCs/>
          <w:color w:val="1F497D" w:themeColor="text2"/>
          <w:sz w:val="32"/>
          <w:szCs w:val="32"/>
        </w:rPr>
      </w:pPr>
    </w:p>
    <w:sectPr w:rsidR="004B3E46" w:rsidRPr="00E7039B" w:rsidSect="000E5868">
      <w:headerReference w:type="default" r:id="rId7"/>
      <w:footerReference w:type="even" r:id="rId8"/>
      <w:footerReference w:type="default" r:id="rId9"/>
      <w:pgSz w:w="12240" w:h="15840"/>
      <w:pgMar w:top="1418" w:right="1701" w:bottom="1418" w:left="170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F8A" w:rsidRDefault="00684F8A" w:rsidP="00280648">
      <w:pPr>
        <w:spacing w:after="0"/>
      </w:pPr>
      <w:r>
        <w:separator/>
      </w:r>
    </w:p>
  </w:endnote>
  <w:endnote w:type="continuationSeparator" w:id="0">
    <w:p w:rsidR="00684F8A" w:rsidRDefault="00684F8A" w:rsidP="002806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868" w:rsidRDefault="000E5868" w:rsidP="001B564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E5868" w:rsidRDefault="000E5868" w:rsidP="000E5868">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648" w:rsidRDefault="00915B58" w:rsidP="00092299">
    <w:pPr>
      <w:pStyle w:val="Piedepgina"/>
      <w:ind w:right="360"/>
      <w:jc w:val="center"/>
    </w:pPr>
    <w:r>
      <w:t xml:space="preserve">  </w:t>
    </w:r>
    <w:r w:rsidR="00092299">
      <w:t xml:space="preserve">    </w:t>
    </w:r>
    <w:r>
      <w:rPr>
        <w:noProof/>
        <w:lang w:val="es-MX" w:eastAsia="es-MX"/>
      </w:rPr>
      <w:drawing>
        <wp:inline distT="0" distB="0" distL="0" distR="0" wp14:anchorId="3DEF0DFD" wp14:editId="565ADD79">
          <wp:extent cx="5029636" cy="249958"/>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guras gris.png"/>
                  <pic:cNvPicPr/>
                </pic:nvPicPr>
                <pic:blipFill>
                  <a:blip r:embed="rId1">
                    <a:extLst>
                      <a:ext uri="{28A0092B-C50C-407E-A947-70E740481C1C}">
                        <a14:useLocalDpi xmlns:a14="http://schemas.microsoft.com/office/drawing/2010/main" val="0"/>
                      </a:ext>
                    </a:extLst>
                  </a:blip>
                  <a:stretch>
                    <a:fillRect/>
                  </a:stretch>
                </pic:blipFill>
                <pic:spPr>
                  <a:xfrm>
                    <a:off x="0" y="0"/>
                    <a:ext cx="5029636" cy="249958"/>
                  </a:xfrm>
                  <a:prstGeom prst="rect">
                    <a:avLst/>
                  </a:prstGeom>
                </pic:spPr>
              </pic:pic>
            </a:graphicData>
          </a:graphic>
        </wp:inline>
      </w:drawing>
    </w:r>
    <w:r w:rsidR="00280648">
      <w:rPr>
        <w:noProof/>
        <w:lang w:val="es-MX" w:eastAsia="es-MX"/>
      </w:rPr>
      <mc:AlternateContent>
        <mc:Choice Requires="wps">
          <w:drawing>
            <wp:anchor distT="0" distB="0" distL="114300" distR="114300" simplePos="0" relativeHeight="251659264" behindDoc="1" locked="0" layoutInCell="1" allowOverlap="1" wp14:anchorId="51484C2B" wp14:editId="18283357">
              <wp:simplePos x="0" y="0"/>
              <wp:positionH relativeFrom="page">
                <wp:align>left</wp:align>
              </wp:positionH>
              <wp:positionV relativeFrom="page">
                <wp:align>bottom</wp:align>
              </wp:positionV>
              <wp:extent cx="7772400" cy="244800"/>
              <wp:effectExtent l="0" t="0" r="0" b="9525"/>
              <wp:wrapNone/>
              <wp:docPr id="4" name="Rectángulo 4"/>
              <wp:cNvGraphicFramePr/>
              <a:graphic xmlns:a="http://schemas.openxmlformats.org/drawingml/2006/main">
                <a:graphicData uri="http://schemas.microsoft.com/office/word/2010/wordprocessingShape">
                  <wps:wsp>
                    <wps:cNvSpPr/>
                    <wps:spPr>
                      <a:xfrm>
                        <a:off x="0" y="0"/>
                        <a:ext cx="7772400" cy="244800"/>
                      </a:xfrm>
                      <a:prstGeom prst="rect">
                        <a:avLst/>
                      </a:prstGeom>
                      <a:solidFill>
                        <a:srgbClr val="003C7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C9CE9" id="Rectángulo 4" o:spid="_x0000_s1026" style="position:absolute;margin-left:0;margin-top:0;width:612pt;height:19.3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" fillcolor="#003c7f" stroked="f">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F8A" w:rsidRDefault="00684F8A" w:rsidP="00280648">
      <w:pPr>
        <w:spacing w:after="0"/>
      </w:pPr>
      <w:r>
        <w:separator/>
      </w:r>
    </w:p>
  </w:footnote>
  <w:footnote w:type="continuationSeparator" w:id="0">
    <w:p w:rsidR="00684F8A" w:rsidRDefault="00684F8A" w:rsidP="0028064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5751"/>
    </w:tblGrid>
    <w:tr w:rsidR="00E7039B" w:rsidTr="00E7039B">
      <w:tc>
        <w:tcPr>
          <w:tcW w:w="3227" w:type="dxa"/>
        </w:tcPr>
        <w:p w:rsidR="00E7039B" w:rsidRDefault="00E7039B">
          <w:pPr>
            <w:pStyle w:val="Encabezado"/>
          </w:pPr>
          <w:r>
            <w:rPr>
              <w:noProof/>
              <w:lang w:val="es-MX" w:eastAsia="es-MX"/>
            </w:rPr>
            <w:drawing>
              <wp:inline distT="0" distB="0" distL="0" distR="0" wp14:anchorId="026CE3A2" wp14:editId="637C9752">
                <wp:extent cx="1676400" cy="917866"/>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RE_completo.png"/>
                        <pic:cNvPicPr/>
                      </pic:nvPicPr>
                      <pic:blipFill>
                        <a:blip r:embed="rId1">
                          <a:extLst>
                            <a:ext uri="{28A0092B-C50C-407E-A947-70E740481C1C}">
                              <a14:useLocalDpi xmlns:a14="http://schemas.microsoft.com/office/drawing/2010/main" val="0"/>
                            </a:ext>
                          </a:extLst>
                        </a:blip>
                        <a:stretch>
                          <a:fillRect/>
                        </a:stretch>
                      </pic:blipFill>
                      <pic:spPr>
                        <a:xfrm>
                          <a:off x="0" y="0"/>
                          <a:ext cx="1700608" cy="931120"/>
                        </a:xfrm>
                        <a:prstGeom prst="rect">
                          <a:avLst/>
                        </a:prstGeom>
                      </pic:spPr>
                    </pic:pic>
                  </a:graphicData>
                </a:graphic>
              </wp:inline>
            </w:drawing>
          </w:r>
        </w:p>
      </w:tc>
      <w:tc>
        <w:tcPr>
          <w:tcW w:w="5751" w:type="dxa"/>
        </w:tcPr>
        <w:p w:rsidR="00E7039B" w:rsidRPr="00915B58" w:rsidRDefault="00E7039B">
          <w:pPr>
            <w:pStyle w:val="Encabezado"/>
            <w:rPr>
              <w:color w:val="1F497D" w:themeColor="text2"/>
              <w:sz w:val="32"/>
              <w:szCs w:val="32"/>
            </w:rPr>
          </w:pPr>
        </w:p>
        <w:p w:rsidR="00E7039B" w:rsidRPr="00915B58" w:rsidRDefault="00E7039B">
          <w:pPr>
            <w:pStyle w:val="Encabezado"/>
            <w:rPr>
              <w:color w:val="1F497D" w:themeColor="text2"/>
              <w:sz w:val="32"/>
              <w:szCs w:val="32"/>
            </w:rPr>
          </w:pPr>
        </w:p>
        <w:p w:rsidR="00E7039B" w:rsidRPr="00915B58" w:rsidRDefault="00E7039B" w:rsidP="00E7039B">
          <w:pPr>
            <w:pStyle w:val="Encabezado"/>
            <w:jc w:val="center"/>
            <w:rPr>
              <w:rFonts w:asciiTheme="majorHAnsi" w:hAnsiTheme="majorHAnsi"/>
              <w:b/>
              <w:color w:val="1F497D" w:themeColor="text2"/>
              <w:sz w:val="32"/>
              <w:szCs w:val="32"/>
            </w:rPr>
          </w:pPr>
          <w:r w:rsidRPr="00915B58">
            <w:rPr>
              <w:rFonts w:asciiTheme="majorHAnsi" w:hAnsiTheme="majorHAnsi"/>
              <w:b/>
              <w:color w:val="1F497D" w:themeColor="text2"/>
              <w:sz w:val="32"/>
              <w:szCs w:val="32"/>
            </w:rPr>
            <w:t>CONSEJO CONSULTIVO</w:t>
          </w:r>
        </w:p>
        <w:p w:rsidR="00E7039B" w:rsidRPr="00915B58" w:rsidRDefault="00915B58" w:rsidP="00915B58">
          <w:pPr>
            <w:pStyle w:val="Encabezado"/>
            <w:jc w:val="center"/>
            <w:rPr>
              <w:color w:val="1F497D" w:themeColor="text2"/>
              <w:sz w:val="32"/>
              <w:szCs w:val="32"/>
            </w:rPr>
          </w:pPr>
          <w:r w:rsidRPr="00915B58">
            <w:rPr>
              <w:rFonts w:asciiTheme="majorHAnsi" w:hAnsiTheme="majorHAnsi"/>
              <w:b/>
              <w:color w:val="1F497D" w:themeColor="text2"/>
              <w:sz w:val="32"/>
              <w:szCs w:val="32"/>
            </w:rPr>
            <w:t xml:space="preserve">EN MATERIA </w:t>
          </w:r>
          <w:r>
            <w:rPr>
              <w:rFonts w:asciiTheme="majorHAnsi" w:hAnsiTheme="majorHAnsi"/>
              <w:b/>
              <w:color w:val="1F497D" w:themeColor="text2"/>
              <w:sz w:val="32"/>
              <w:szCs w:val="32"/>
            </w:rPr>
            <w:t>ELÉCTRICA</w:t>
          </w:r>
        </w:p>
      </w:tc>
    </w:tr>
  </w:tbl>
  <w:p w:rsidR="00E7039B" w:rsidRDefault="00E7039B">
    <w:pPr>
      <w:pStyle w:val="Encabezado"/>
    </w:pPr>
  </w:p>
  <w:p w:rsidR="00280648" w:rsidRDefault="002E1386" w:rsidP="00E7039B">
    <w:pPr>
      <w:pStyle w:val="Encabezado"/>
      <w:pBdr>
        <w:bottom w:val="single" w:sz="4" w:space="1" w:color="auto"/>
      </w:pBdr>
    </w:pPr>
    <w:r>
      <w:rPr>
        <w:noProof/>
        <w:lang w:val="es-MX" w:eastAsia="es-MX"/>
      </w:rPr>
      <mc:AlternateContent>
        <mc:Choice Requires="wps">
          <w:drawing>
            <wp:anchor distT="0" distB="0" distL="114300" distR="114300" simplePos="0" relativeHeight="251694592" behindDoc="1" locked="0" layoutInCell="1" allowOverlap="1" wp14:anchorId="794F165A" wp14:editId="6A19750D">
              <wp:simplePos x="0" y="0"/>
              <wp:positionH relativeFrom="page">
                <wp:posOffset>-62865</wp:posOffset>
              </wp:positionH>
              <wp:positionV relativeFrom="page">
                <wp:posOffset>2272030</wp:posOffset>
              </wp:positionV>
              <wp:extent cx="143510" cy="478800"/>
              <wp:effectExtent l="0" t="0" r="8890" b="3810"/>
              <wp:wrapNone/>
              <wp:docPr id="5" name="Rectángulo 5"/>
              <wp:cNvGraphicFramePr/>
              <a:graphic xmlns:a="http://schemas.openxmlformats.org/drawingml/2006/main">
                <a:graphicData uri="http://schemas.microsoft.com/office/word/2010/wordprocessingShape">
                  <wps:wsp>
                    <wps:cNvSpPr/>
                    <wps:spPr>
                      <a:xfrm>
                        <a:off x="0" y="0"/>
                        <a:ext cx="143510" cy="478800"/>
                      </a:xfrm>
                      <a:prstGeom prst="rect">
                        <a:avLst/>
                      </a:prstGeom>
                      <a:solidFill>
                        <a:srgbClr val="9FA1A4"/>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AE48E" id="Rectángulo 5" o:spid="_x0000_s1026" style="position:absolute;margin-left:-4.95pt;margin-top:178.9pt;width:11.3pt;height:37.7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" fillcolor="#9fa1a4" stroked="f">
              <w10:wrap anchorx="page" anchory="page"/>
            </v:rect>
          </w:pict>
        </mc:Fallback>
      </mc:AlternateContent>
    </w:r>
    <w:r w:rsidR="00280648">
      <w:rPr>
        <w:noProof/>
        <w:lang w:val="es-MX" w:eastAsia="es-MX"/>
      </w:rPr>
      <w:drawing>
        <wp:anchor distT="0" distB="0" distL="114300" distR="114300" simplePos="0" relativeHeight="251656704" behindDoc="0" locked="0" layoutInCell="1" allowOverlap="1" wp14:anchorId="6DAC6563" wp14:editId="09BA75DD">
          <wp:simplePos x="0" y="0"/>
          <wp:positionH relativeFrom="page">
            <wp:align>right</wp:align>
          </wp:positionH>
          <wp:positionV relativeFrom="page">
            <wp:align>top</wp:align>
          </wp:positionV>
          <wp:extent cx="1292225" cy="1292225"/>
          <wp:effectExtent l="0" t="0" r="3175"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ICO.png"/>
                  <pic:cNvPicPr/>
                </pic:nvPicPr>
                <pic:blipFill>
                  <a:blip r:embed="rId2">
                    <a:extLst>
                      <a:ext uri="{28A0092B-C50C-407E-A947-70E740481C1C}">
                        <a14:useLocalDpi xmlns:a14="http://schemas.microsoft.com/office/drawing/2010/main" val="0"/>
                      </a:ext>
                    </a:extLst>
                  </a:blip>
                  <a:stretch>
                    <a:fillRect/>
                  </a:stretch>
                </pic:blipFill>
                <pic:spPr>
                  <a:xfrm>
                    <a:off x="0" y="0"/>
                    <a:ext cx="1292225" cy="129222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B05E2"/>
    <w:multiLevelType w:val="hybridMultilevel"/>
    <w:tmpl w:val="82AA48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5270D0B"/>
    <w:multiLevelType w:val="hybridMultilevel"/>
    <w:tmpl w:val="2AFC8890"/>
    <w:lvl w:ilvl="0" w:tplc="94E23FAE">
      <w:start w:val="1"/>
      <w:numFmt w:val="decimal"/>
      <w:lvlText w:val="%1."/>
      <w:lvlJc w:val="left"/>
      <w:pPr>
        <w:ind w:left="720" w:hanging="360"/>
      </w:pPr>
      <w:rPr>
        <w:b/>
        <w:color w:val="1F497D" w:themeColor="text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97"/>
    <w:rsid w:val="000870DC"/>
    <w:rsid w:val="00092299"/>
    <w:rsid w:val="000A1F4A"/>
    <w:rsid w:val="000E5868"/>
    <w:rsid w:val="00280648"/>
    <w:rsid w:val="002E1386"/>
    <w:rsid w:val="004A7842"/>
    <w:rsid w:val="004B3E46"/>
    <w:rsid w:val="004D5711"/>
    <w:rsid w:val="00554390"/>
    <w:rsid w:val="0062333B"/>
    <w:rsid w:val="00641F7D"/>
    <w:rsid w:val="00677BA7"/>
    <w:rsid w:val="00684F8A"/>
    <w:rsid w:val="006B16DC"/>
    <w:rsid w:val="00795A1D"/>
    <w:rsid w:val="00915B58"/>
    <w:rsid w:val="00A658A2"/>
    <w:rsid w:val="00AA6A97"/>
    <w:rsid w:val="00B34767"/>
    <w:rsid w:val="00B35261"/>
    <w:rsid w:val="00DE0CDD"/>
    <w:rsid w:val="00DE7F41"/>
    <w:rsid w:val="00E51A98"/>
    <w:rsid w:val="00E7039B"/>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BC9F91"/>
  <w15:docId w15:val="{1A3B56EC-AD62-428B-BB19-5BC85876A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2333B"/>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2333B"/>
    <w:rPr>
      <w:rFonts w:ascii="Lucida Grande" w:hAnsi="Lucida Grande"/>
      <w:sz w:val="18"/>
      <w:szCs w:val="18"/>
    </w:rPr>
  </w:style>
  <w:style w:type="paragraph" w:styleId="Encabezado">
    <w:name w:val="header"/>
    <w:basedOn w:val="Normal"/>
    <w:link w:val="EncabezadoCar"/>
    <w:uiPriority w:val="99"/>
    <w:unhideWhenUsed/>
    <w:rsid w:val="00280648"/>
    <w:pPr>
      <w:tabs>
        <w:tab w:val="center" w:pos="4252"/>
        <w:tab w:val="right" w:pos="8504"/>
      </w:tabs>
      <w:spacing w:after="0"/>
    </w:pPr>
  </w:style>
  <w:style w:type="character" w:customStyle="1" w:styleId="EncabezadoCar">
    <w:name w:val="Encabezado Car"/>
    <w:basedOn w:val="Fuentedeprrafopredeter"/>
    <w:link w:val="Encabezado"/>
    <w:uiPriority w:val="99"/>
    <w:rsid w:val="00280648"/>
  </w:style>
  <w:style w:type="paragraph" w:styleId="Piedepgina">
    <w:name w:val="footer"/>
    <w:basedOn w:val="Normal"/>
    <w:link w:val="PiedepginaCar"/>
    <w:uiPriority w:val="99"/>
    <w:unhideWhenUsed/>
    <w:rsid w:val="00280648"/>
    <w:pPr>
      <w:tabs>
        <w:tab w:val="center" w:pos="4252"/>
        <w:tab w:val="right" w:pos="8504"/>
      </w:tabs>
      <w:spacing w:after="0"/>
    </w:pPr>
  </w:style>
  <w:style w:type="character" w:customStyle="1" w:styleId="PiedepginaCar">
    <w:name w:val="Pie de página Car"/>
    <w:basedOn w:val="Fuentedeprrafopredeter"/>
    <w:link w:val="Piedepgina"/>
    <w:uiPriority w:val="99"/>
    <w:rsid w:val="00280648"/>
  </w:style>
  <w:style w:type="character" w:styleId="Nmerodepgina">
    <w:name w:val="page number"/>
    <w:basedOn w:val="Fuentedeprrafopredeter"/>
    <w:uiPriority w:val="99"/>
    <w:semiHidden/>
    <w:unhideWhenUsed/>
    <w:rsid w:val="000E5868"/>
  </w:style>
  <w:style w:type="paragraph" w:styleId="Prrafodelista">
    <w:name w:val="List Paragraph"/>
    <w:basedOn w:val="Normal"/>
    <w:uiPriority w:val="34"/>
    <w:qFormat/>
    <w:rsid w:val="00E7039B"/>
    <w:pPr>
      <w:spacing w:after="160" w:line="252" w:lineRule="auto"/>
      <w:ind w:left="720"/>
      <w:contextualSpacing/>
    </w:pPr>
    <w:rPr>
      <w:rFonts w:ascii="Calibri" w:eastAsiaTheme="minorHAnsi" w:hAnsi="Calibri" w:cs="Times New Roman"/>
      <w:sz w:val="22"/>
      <w:szCs w:val="22"/>
      <w:lang w:val="es-MX" w:eastAsia="en-US"/>
    </w:rPr>
  </w:style>
  <w:style w:type="table" w:styleId="Tablaconcuadrcula">
    <w:name w:val="Table Grid"/>
    <w:basedOn w:val="Tablanormal"/>
    <w:uiPriority w:val="59"/>
    <w:rsid w:val="00E7039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8173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887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Comisión Reguladora de Energía</Company>
  <LinksUpToDate>false</LinksUpToDate>
  <CharactersWithSpaces>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dc:creator>
  <cp:keywords/>
  <dc:description/>
  <cp:lastModifiedBy>Carlos Huerta</cp:lastModifiedBy>
  <cp:revision>2</cp:revision>
  <cp:lastPrinted>2015-11-05T20:40:00Z</cp:lastPrinted>
  <dcterms:created xsi:type="dcterms:W3CDTF">2015-12-11T19:54:00Z</dcterms:created>
  <dcterms:modified xsi:type="dcterms:W3CDTF">2015-12-11T19:54:00Z</dcterms:modified>
</cp:coreProperties>
</file>