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39B" w:rsidRDefault="00E7039B" w:rsidP="00E7039B">
      <w:pPr>
        <w:jc w:val="center"/>
        <w:rPr>
          <w:rFonts w:asciiTheme="majorHAnsi" w:hAnsiTheme="majorHAnsi"/>
          <w:b/>
          <w:bCs/>
        </w:rPr>
      </w:pPr>
    </w:p>
    <w:p w:rsidR="00E7039B" w:rsidRPr="00E7039B" w:rsidRDefault="00E7039B" w:rsidP="00E7039B">
      <w:pPr>
        <w:spacing w:after="0" w:line="276" w:lineRule="auto"/>
        <w:jc w:val="center"/>
        <w:rPr>
          <w:rFonts w:asciiTheme="majorHAnsi" w:hAnsiTheme="majorHAnsi"/>
          <w:b/>
          <w:bCs/>
          <w:color w:val="1F497D" w:themeColor="text2"/>
          <w:sz w:val="32"/>
          <w:szCs w:val="32"/>
        </w:rPr>
      </w:pPr>
      <w:r w:rsidRPr="00E7039B">
        <w:rPr>
          <w:rFonts w:asciiTheme="majorHAnsi" w:hAnsiTheme="majorHAnsi"/>
          <w:b/>
          <w:bCs/>
          <w:color w:val="1F497D" w:themeColor="text2"/>
          <w:sz w:val="32"/>
          <w:szCs w:val="32"/>
        </w:rPr>
        <w:t>SEGUNDA SESIÓN ORDINARIA</w:t>
      </w:r>
    </w:p>
    <w:p w:rsidR="00E7039B" w:rsidRDefault="00E7039B" w:rsidP="00E7039B">
      <w:pPr>
        <w:spacing w:after="0"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Lunes 23 de noviembre de 2015</w:t>
      </w:r>
    </w:p>
    <w:p w:rsidR="00E7039B" w:rsidRDefault="00F22E4F" w:rsidP="00E7039B">
      <w:pPr>
        <w:spacing w:after="0" w:line="276" w:lineRule="auto"/>
        <w:jc w:val="center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>16:30 a 19</w:t>
      </w:r>
      <w:r w:rsidR="00E7039B">
        <w:rPr>
          <w:rFonts w:asciiTheme="majorHAnsi" w:hAnsiTheme="majorHAnsi"/>
          <w:b/>
          <w:bCs/>
        </w:rPr>
        <w:t>:00 horas</w:t>
      </w:r>
    </w:p>
    <w:p w:rsidR="00E7039B" w:rsidRDefault="00915B58" w:rsidP="00915B58">
      <w:pPr>
        <w:tabs>
          <w:tab w:val="left" w:pos="5640"/>
        </w:tabs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</w:rPr>
        <w:tab/>
      </w:r>
    </w:p>
    <w:p w:rsidR="00E7039B" w:rsidRDefault="00795A1D" w:rsidP="00E7039B">
      <w:pPr>
        <w:jc w:val="center"/>
        <w:rPr>
          <w:rFonts w:asciiTheme="majorHAnsi" w:hAnsiTheme="majorHAnsi"/>
          <w:b/>
          <w:bCs/>
          <w:color w:val="1F497D" w:themeColor="text2"/>
          <w:sz w:val="32"/>
          <w:szCs w:val="32"/>
        </w:rPr>
      </w:pPr>
      <w:r>
        <w:rPr>
          <w:rFonts w:asciiTheme="majorHAnsi" w:hAnsiTheme="majorHAnsi"/>
          <w:b/>
          <w:bCs/>
          <w:color w:val="1F497D" w:themeColor="text2"/>
          <w:sz w:val="32"/>
          <w:szCs w:val="32"/>
        </w:rPr>
        <w:t>ACUERDOS</w:t>
      </w:r>
    </w:p>
    <w:p w:rsidR="00D9388C" w:rsidRDefault="00D9388C" w:rsidP="00D9388C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bCs/>
          <w:color w:val="1F497D" w:themeColor="text2"/>
          <w:sz w:val="24"/>
          <w:szCs w:val="24"/>
        </w:rPr>
      </w:pPr>
      <w:r>
        <w:rPr>
          <w:rFonts w:asciiTheme="majorHAnsi" w:hAnsiTheme="majorHAnsi"/>
          <w:bCs/>
          <w:color w:val="1F497D" w:themeColor="text2"/>
          <w:sz w:val="24"/>
          <w:szCs w:val="24"/>
        </w:rPr>
        <w:t>“</w:t>
      </w:r>
      <w:r w:rsidRPr="00D9388C">
        <w:rPr>
          <w:rFonts w:asciiTheme="majorHAnsi" w:hAnsiTheme="majorHAnsi"/>
          <w:bCs/>
          <w:color w:val="1F497D" w:themeColor="text2"/>
          <w:sz w:val="24"/>
          <w:szCs w:val="24"/>
        </w:rPr>
        <w:t xml:space="preserve">(…) </w:t>
      </w:r>
      <w:r w:rsidRPr="00D9388C">
        <w:rPr>
          <w:rFonts w:asciiTheme="majorHAnsi" w:hAnsiTheme="majorHAnsi"/>
          <w:bCs/>
          <w:color w:val="1F497D" w:themeColor="text2"/>
          <w:sz w:val="24"/>
          <w:szCs w:val="24"/>
        </w:rPr>
        <w:t>hacer un ejercicio, de una simulación de cómo se comportaría la propuesta que se sometió a su consideración de este Consejo con el comportamiento de las tarifas actuales.</w:t>
      </w:r>
      <w:r>
        <w:rPr>
          <w:rFonts w:asciiTheme="majorHAnsi" w:hAnsiTheme="majorHAnsi"/>
          <w:bCs/>
          <w:color w:val="1F497D" w:themeColor="text2"/>
          <w:sz w:val="24"/>
          <w:szCs w:val="24"/>
        </w:rPr>
        <w:t>”</w:t>
      </w:r>
    </w:p>
    <w:p w:rsidR="00D9388C" w:rsidRDefault="00D9388C" w:rsidP="00D9388C">
      <w:pPr>
        <w:pStyle w:val="Prrafodelista"/>
        <w:ind w:left="426"/>
        <w:jc w:val="both"/>
        <w:rPr>
          <w:rFonts w:asciiTheme="majorHAnsi" w:hAnsiTheme="majorHAnsi"/>
          <w:bCs/>
          <w:color w:val="1F497D" w:themeColor="text2"/>
          <w:sz w:val="24"/>
          <w:szCs w:val="24"/>
        </w:rPr>
      </w:pPr>
    </w:p>
    <w:p w:rsidR="00D9388C" w:rsidRDefault="00D9388C" w:rsidP="00D9388C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bCs/>
          <w:color w:val="1F497D" w:themeColor="text2"/>
          <w:sz w:val="24"/>
          <w:szCs w:val="32"/>
        </w:rPr>
      </w:pPr>
      <w:r w:rsidRPr="00D9388C">
        <w:rPr>
          <w:rFonts w:asciiTheme="majorHAnsi" w:hAnsiTheme="majorHAnsi"/>
          <w:bCs/>
          <w:color w:val="1F497D" w:themeColor="text2"/>
          <w:sz w:val="24"/>
          <w:szCs w:val="24"/>
        </w:rPr>
        <w:t>“(…)</w:t>
      </w:r>
      <w:r>
        <w:rPr>
          <w:rFonts w:asciiTheme="majorHAnsi" w:hAnsiTheme="majorHAnsi"/>
          <w:bCs/>
          <w:color w:val="1F497D" w:themeColor="text2"/>
          <w:sz w:val="24"/>
          <w:szCs w:val="24"/>
        </w:rPr>
        <w:t xml:space="preserve"> </w:t>
      </w:r>
      <w:r w:rsidRPr="00D9388C">
        <w:rPr>
          <w:rFonts w:asciiTheme="majorHAnsi" w:hAnsiTheme="majorHAnsi"/>
          <w:bCs/>
          <w:color w:val="1F497D" w:themeColor="text2"/>
          <w:sz w:val="24"/>
          <w:szCs w:val="24"/>
        </w:rPr>
        <w:t>formar propiamente un grupo de trabajo, una mesa de trabajo en materia</w:t>
      </w:r>
      <w:r w:rsidRPr="00D9388C">
        <w:rPr>
          <w:rFonts w:asciiTheme="majorHAnsi" w:hAnsiTheme="majorHAnsi"/>
          <w:bCs/>
          <w:color w:val="1F497D" w:themeColor="text2"/>
          <w:sz w:val="24"/>
          <w:szCs w:val="32"/>
        </w:rPr>
        <w:t xml:space="preserve"> tarifaria;</w:t>
      </w:r>
      <w:r>
        <w:rPr>
          <w:rFonts w:asciiTheme="majorHAnsi" w:hAnsiTheme="majorHAnsi"/>
          <w:bCs/>
          <w:color w:val="1F497D" w:themeColor="text2"/>
          <w:sz w:val="24"/>
          <w:szCs w:val="32"/>
        </w:rPr>
        <w:t>”</w:t>
      </w:r>
    </w:p>
    <w:p w:rsidR="00D9388C" w:rsidRPr="00D9388C" w:rsidRDefault="00D9388C" w:rsidP="00D9388C">
      <w:pPr>
        <w:pStyle w:val="Prrafodelista"/>
        <w:rPr>
          <w:rFonts w:asciiTheme="majorHAnsi" w:hAnsiTheme="majorHAnsi"/>
          <w:bCs/>
          <w:color w:val="1F497D" w:themeColor="text2"/>
          <w:sz w:val="24"/>
          <w:szCs w:val="32"/>
        </w:rPr>
      </w:pPr>
    </w:p>
    <w:p w:rsidR="00D9388C" w:rsidRDefault="00D9388C" w:rsidP="00D9388C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bCs/>
          <w:color w:val="1F497D" w:themeColor="text2"/>
          <w:sz w:val="24"/>
          <w:szCs w:val="32"/>
        </w:rPr>
      </w:pPr>
      <w:r>
        <w:rPr>
          <w:rFonts w:asciiTheme="majorHAnsi" w:hAnsiTheme="majorHAnsi"/>
          <w:bCs/>
          <w:color w:val="1F497D" w:themeColor="text2"/>
          <w:sz w:val="24"/>
          <w:szCs w:val="32"/>
        </w:rPr>
        <w:t xml:space="preserve">“(…) </w:t>
      </w:r>
      <w:r w:rsidRPr="00D9388C">
        <w:rPr>
          <w:rFonts w:asciiTheme="majorHAnsi" w:hAnsiTheme="majorHAnsi"/>
          <w:bCs/>
          <w:color w:val="1F497D" w:themeColor="text2"/>
          <w:sz w:val="24"/>
          <w:szCs w:val="32"/>
        </w:rPr>
        <w:t>que nos hagan llegar, por favor, las propuestas, recomendaciones, sobre todo en los instrumentos que tenemos de consulta pública en COFEMER,</w:t>
      </w:r>
      <w:r>
        <w:rPr>
          <w:rFonts w:asciiTheme="majorHAnsi" w:hAnsiTheme="majorHAnsi"/>
          <w:bCs/>
          <w:color w:val="1F497D" w:themeColor="text2"/>
          <w:sz w:val="24"/>
          <w:szCs w:val="32"/>
        </w:rPr>
        <w:t>”</w:t>
      </w:r>
    </w:p>
    <w:p w:rsidR="00D9388C" w:rsidRPr="00D9388C" w:rsidRDefault="00D9388C" w:rsidP="00D9388C">
      <w:pPr>
        <w:pStyle w:val="Prrafodelista"/>
        <w:rPr>
          <w:rFonts w:asciiTheme="majorHAnsi" w:hAnsiTheme="majorHAnsi"/>
          <w:bCs/>
          <w:color w:val="1F497D" w:themeColor="text2"/>
          <w:sz w:val="24"/>
          <w:szCs w:val="32"/>
        </w:rPr>
      </w:pPr>
    </w:p>
    <w:p w:rsidR="00D9388C" w:rsidRDefault="00D9388C" w:rsidP="00D9388C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bCs/>
          <w:color w:val="1F497D" w:themeColor="text2"/>
          <w:sz w:val="24"/>
          <w:szCs w:val="32"/>
        </w:rPr>
      </w:pPr>
      <w:r>
        <w:rPr>
          <w:rFonts w:asciiTheme="majorHAnsi" w:hAnsiTheme="majorHAnsi"/>
          <w:bCs/>
          <w:color w:val="1F497D" w:themeColor="text2"/>
          <w:sz w:val="24"/>
          <w:szCs w:val="32"/>
        </w:rPr>
        <w:t xml:space="preserve">“(…) </w:t>
      </w:r>
      <w:r w:rsidRPr="00D9388C">
        <w:rPr>
          <w:rFonts w:asciiTheme="majorHAnsi" w:hAnsiTheme="majorHAnsi"/>
          <w:bCs/>
          <w:color w:val="1F497D" w:themeColor="text2"/>
          <w:sz w:val="24"/>
          <w:szCs w:val="32"/>
        </w:rPr>
        <w:t>formar una mesa de trabajo en las metodología para la determinación de las ventas de primera mano en gas LP.</w:t>
      </w:r>
      <w:r>
        <w:rPr>
          <w:rFonts w:asciiTheme="majorHAnsi" w:hAnsiTheme="majorHAnsi"/>
          <w:bCs/>
          <w:color w:val="1F497D" w:themeColor="text2"/>
          <w:sz w:val="24"/>
          <w:szCs w:val="32"/>
        </w:rPr>
        <w:t>”</w:t>
      </w:r>
    </w:p>
    <w:p w:rsidR="00D9388C" w:rsidRPr="00D9388C" w:rsidRDefault="00D9388C" w:rsidP="00D9388C">
      <w:pPr>
        <w:pStyle w:val="Prrafodelista"/>
        <w:rPr>
          <w:rFonts w:asciiTheme="majorHAnsi" w:hAnsiTheme="majorHAnsi"/>
          <w:bCs/>
          <w:color w:val="1F497D" w:themeColor="text2"/>
          <w:sz w:val="24"/>
          <w:szCs w:val="32"/>
        </w:rPr>
      </w:pPr>
    </w:p>
    <w:p w:rsidR="00D9388C" w:rsidRPr="00D9388C" w:rsidRDefault="00D9388C" w:rsidP="00D9388C">
      <w:pPr>
        <w:pStyle w:val="Prrafodelista"/>
        <w:numPr>
          <w:ilvl w:val="0"/>
          <w:numId w:val="2"/>
        </w:numPr>
        <w:ind w:left="426" w:hanging="426"/>
        <w:jc w:val="both"/>
        <w:rPr>
          <w:rFonts w:asciiTheme="majorHAnsi" w:hAnsiTheme="majorHAnsi"/>
          <w:bCs/>
          <w:color w:val="1F497D" w:themeColor="text2"/>
          <w:sz w:val="24"/>
          <w:szCs w:val="32"/>
        </w:rPr>
      </w:pPr>
      <w:r w:rsidRPr="00D9388C">
        <w:rPr>
          <w:rFonts w:asciiTheme="majorHAnsi" w:hAnsiTheme="majorHAnsi"/>
          <w:bCs/>
          <w:color w:val="1F497D" w:themeColor="text2"/>
          <w:sz w:val="24"/>
          <w:szCs w:val="32"/>
        </w:rPr>
        <w:t xml:space="preserve">“(…) </w:t>
      </w:r>
      <w:r w:rsidRPr="00D9388C">
        <w:rPr>
          <w:rFonts w:asciiTheme="majorHAnsi" w:hAnsiTheme="majorHAnsi"/>
          <w:bCs/>
          <w:color w:val="1F497D" w:themeColor="text2"/>
          <w:sz w:val="24"/>
          <w:szCs w:val="32"/>
        </w:rPr>
        <w:t>de las Mesa de Trabajo, para los de las revision</w:t>
      </w:r>
      <w:r>
        <w:rPr>
          <w:rFonts w:asciiTheme="majorHAnsi" w:hAnsiTheme="majorHAnsi"/>
          <w:bCs/>
          <w:color w:val="1F497D" w:themeColor="text2"/>
          <w:sz w:val="24"/>
          <w:szCs w:val="32"/>
        </w:rPr>
        <w:t xml:space="preserve">es de las </w:t>
      </w:r>
      <w:proofErr w:type="spellStart"/>
      <w:r>
        <w:rPr>
          <w:rFonts w:asciiTheme="majorHAnsi" w:hAnsiTheme="majorHAnsi"/>
          <w:bCs/>
          <w:color w:val="1F497D" w:themeColor="text2"/>
          <w:sz w:val="24"/>
          <w:szCs w:val="32"/>
        </w:rPr>
        <w:t>DACGs</w:t>
      </w:r>
      <w:proofErr w:type="spellEnd"/>
      <w:r>
        <w:rPr>
          <w:rFonts w:asciiTheme="majorHAnsi" w:hAnsiTheme="majorHAnsi"/>
          <w:bCs/>
          <w:color w:val="1F497D" w:themeColor="text2"/>
          <w:sz w:val="24"/>
          <w:szCs w:val="32"/>
        </w:rPr>
        <w:t xml:space="preserve"> de distribución (…)</w:t>
      </w:r>
      <w:r w:rsidRPr="00D9388C">
        <w:rPr>
          <w:rFonts w:asciiTheme="majorHAnsi" w:hAnsiTheme="majorHAnsi"/>
          <w:bCs/>
          <w:color w:val="1F497D" w:themeColor="text2"/>
          <w:sz w:val="24"/>
          <w:szCs w:val="32"/>
        </w:rPr>
        <w:t xml:space="preserve"> junto con cualquier comentario que fuese de disposiciones, de por ejemplo, VPM; transporte está ya bastante procesado; VPM tenemos algunos avances importantes, el que está menos avanzado en el de distribución, entonces ahí es donde sí necesitamos muchas de sus opiniones.</w:t>
      </w:r>
      <w:r>
        <w:rPr>
          <w:rFonts w:asciiTheme="majorHAnsi" w:hAnsiTheme="majorHAnsi"/>
          <w:bCs/>
          <w:color w:val="1F497D" w:themeColor="text2"/>
          <w:sz w:val="24"/>
          <w:szCs w:val="32"/>
        </w:rPr>
        <w:t>”</w:t>
      </w:r>
    </w:p>
    <w:p w:rsidR="00D9388C" w:rsidRDefault="00D9388C" w:rsidP="00D9388C">
      <w:pPr>
        <w:jc w:val="both"/>
        <w:rPr>
          <w:rFonts w:asciiTheme="majorHAnsi" w:hAnsiTheme="majorHAnsi"/>
          <w:bCs/>
          <w:color w:val="1F497D" w:themeColor="text2"/>
          <w:szCs w:val="32"/>
        </w:rPr>
      </w:pPr>
    </w:p>
    <w:p w:rsidR="00D9388C" w:rsidRDefault="00D9388C" w:rsidP="00D9388C">
      <w:pPr>
        <w:jc w:val="both"/>
        <w:rPr>
          <w:rFonts w:asciiTheme="majorHAnsi" w:hAnsiTheme="majorHAnsi"/>
          <w:bCs/>
          <w:color w:val="1F497D" w:themeColor="text2"/>
          <w:szCs w:val="32"/>
        </w:rPr>
      </w:pPr>
    </w:p>
    <w:p w:rsidR="00D9388C" w:rsidRPr="00D9388C" w:rsidRDefault="00D9388C" w:rsidP="00D9388C">
      <w:pPr>
        <w:jc w:val="both"/>
        <w:rPr>
          <w:rFonts w:asciiTheme="majorHAnsi" w:hAnsiTheme="majorHAnsi"/>
          <w:bCs/>
          <w:color w:val="1F497D" w:themeColor="text2"/>
          <w:szCs w:val="32"/>
        </w:rPr>
      </w:pPr>
      <w:r>
        <w:rPr>
          <w:rFonts w:asciiTheme="majorHAnsi" w:hAnsiTheme="majorHAnsi"/>
          <w:bCs/>
          <w:color w:val="1F497D" w:themeColor="text2"/>
          <w:szCs w:val="32"/>
        </w:rPr>
        <w:t>Fuente: Versión estenográfica de la sesión, pág. 45.</w:t>
      </w:r>
    </w:p>
    <w:p w:rsidR="00D9388C" w:rsidRPr="00D9388C" w:rsidRDefault="00D9388C" w:rsidP="00D9388C">
      <w:pPr>
        <w:jc w:val="both"/>
        <w:rPr>
          <w:rFonts w:asciiTheme="majorHAnsi" w:hAnsiTheme="majorHAnsi"/>
          <w:bCs/>
          <w:color w:val="1F497D" w:themeColor="text2"/>
          <w:szCs w:val="32"/>
        </w:rPr>
      </w:pPr>
    </w:p>
    <w:sectPr w:rsidR="00D9388C" w:rsidRPr="00D9388C" w:rsidSect="000E5868">
      <w:headerReference w:type="default" r:id="rId7"/>
      <w:footerReference w:type="even" r:id="rId8"/>
      <w:footerReference w:type="default" r:id="rId9"/>
      <w:pgSz w:w="12240" w:h="15840"/>
      <w:pgMar w:top="1418" w:right="1701" w:bottom="1418" w:left="170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4977" w:rsidRDefault="00164977" w:rsidP="00280648">
      <w:pPr>
        <w:spacing w:after="0"/>
      </w:pPr>
      <w:r>
        <w:separator/>
      </w:r>
    </w:p>
  </w:endnote>
  <w:endnote w:type="continuationSeparator" w:id="0">
    <w:p w:rsidR="00164977" w:rsidRDefault="00164977" w:rsidP="002806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5868" w:rsidRDefault="000E5868" w:rsidP="001B564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0E5868" w:rsidRDefault="000E5868" w:rsidP="000E586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648" w:rsidRDefault="00915B58" w:rsidP="00092299">
    <w:pPr>
      <w:pStyle w:val="Piedepgina"/>
      <w:ind w:right="360"/>
      <w:jc w:val="center"/>
    </w:pPr>
    <w:r>
      <w:t xml:space="preserve">  </w:t>
    </w:r>
    <w:r w:rsidR="00092299">
      <w:t xml:space="preserve">    </w:t>
    </w:r>
    <w:r>
      <w:rPr>
        <w:noProof/>
        <w:lang w:val="es-MX" w:eastAsia="es-MX"/>
      </w:rPr>
      <w:drawing>
        <wp:inline distT="0" distB="0" distL="0" distR="0" wp14:anchorId="3DEF0DFD" wp14:editId="5FF824EE">
          <wp:extent cx="5029636" cy="249958"/>
          <wp:effectExtent l="0" t="0" r="0" b="0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Figuras gri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636" cy="2499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80648"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51484C2B" wp14:editId="4DADBAD7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7772400" cy="244800"/>
              <wp:effectExtent l="0" t="0" r="0" b="9525"/>
              <wp:wrapNone/>
              <wp:docPr id="4" name="Rectángul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772400" cy="244800"/>
                      </a:xfrm>
                      <a:prstGeom prst="rect">
                        <a:avLst/>
                      </a:prstGeom>
                      <a:solidFill>
                        <a:srgbClr val="003C7F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934BE3" id="Rectángulo 4" o:spid="_x0000_s1026" style="position:absolute;margin-left:0;margin-top:0;width:612pt;height:19.3pt;z-index:-25165772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8o4gwIAAHIFAAAOAAAAZHJzL2Uyb0RvYy54bWysVN1q2zAUvh/sHYTuVyept3ShTgkpGYPS&#10;hraj14osJQZZRztS4mRvs2fZi+1IdtysKxTGbuxzdL7z/3N5ta8N2yn0FdiCD88GnCkroazsuuDf&#10;HhcfLjjzQdhSGLCq4Afl+dX0/bvLxk3UCDZgSoWMjFg/aVzBNyG4SZZ5uVG18GfglCWhBqxFIBbX&#10;WYmiIeu1yUaDwaesASwdglTe0+t1K+TTZF9rJcOd1l4FZgpOsYX0xfRdxW82vRSTNQq3qWQXhviH&#10;KGpRWXLam7oWQbAtVn+ZqiuJ4EGHMwl1BlpXUqUcKJvh4EU2DxvhVMqFiuNdXyb//8zK290SWVUW&#10;POfMippadE9F+/XTrrcGWB4L1Dg/IdyDW2LHeSJjtnuNdfxTHmyfinroi6r2gUl6HI/Ho3xAtZck&#10;G+X5BdFkJnvWdujDFwU1i0TBkfynWordjQ8t9AiJzjyYqlxUxiQG16u5QbYTscGD8/l40Vn/A2Zs&#10;BFuIaq3F9kWlEencxDzbzBIVDkZFLWPvlaYSUS7DFFcaTtV7FVIqG4ad24SOappc9Yrnbyt2+Kja&#10;RtUrj95W7jWSZ7ChV64rC/iaAdOHrFs89eQk70iuoDzQdCC0a+OdXFTUohvhw1Ig7Ql1lXY/3NFH&#10;G2gKDh3F2Qbwx2vvEU/jS1LOGtq7gvvvW4GKM/PV0mB/HuZ5XNTE5B/HI2LwVLI6ldhtPQfq/JCu&#10;jJOJjPhgjqRGqJ/oRMyiVxIJK8l3wWXAIzMP7T2gIyPVbJZgtJxOhBv74OSx63EEH/dPAl03p4Em&#10;/BaOOyomL8a1xcZ+WJhtA+gqzfJzXbt602KnbeiOULwcp3xCPZ/K6W8AAAD//wMAUEsDBBQABgAI&#10;AAAAIQA2APDs2gAAAAUBAAAPAAAAZHJzL2Rvd25yZXYueG1sTI/BTsMwEETvSPyDtUjcqEOKqjTE&#10;qRCoNziQIpHjNl7iiHgd2W4b/h6XC72MNJrVzNtqM9tRHMmHwbGC+0UGgrhzeuBewcdue1eACBFZ&#10;4+iYFPxQgE19fVVhqd2J3+nYxF6kEg4lKjAxTqWUoTNkMSzcRJyyL+ctxmR9L7XHUyq3o8yzbCUt&#10;DpwWDE70bKj7bg5Wwcuy/Zxl2zSvrd+t12+m5W3hlLq9mZ8eQUSa4/8xnPETOtSJae8OrIMYFaRH&#10;4p+eszx/SH6vYFmsQNaVvKSvfwEAAP//AwBQSwECLQAUAAYACAAAACEAtoM4kv4AAADhAQAAEwAA&#10;AAAAAAAAAAAAAAAAAAAAW0NvbnRlbnRfVHlwZXNdLnhtbFBLAQItABQABgAIAAAAIQA4/SH/1gAA&#10;AJQBAAALAAAAAAAAAAAAAAAAAC8BAABfcmVscy8ucmVsc1BLAQItABQABgAIAAAAIQCLN8o4gwIA&#10;AHIFAAAOAAAAAAAAAAAAAAAAAC4CAABkcnMvZTJvRG9jLnhtbFBLAQItABQABgAIAAAAIQA2APDs&#10;2gAAAAUBAAAPAAAAAAAAAAAAAAAAAN0EAABkcnMvZG93bnJldi54bWxQSwUGAAAAAAQABADzAAAA&#10;5AUAAAAA&#10;" fillcolor="#003c7f" stroked="f">
              <w10:wrap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4977" w:rsidRDefault="00164977" w:rsidP="00280648">
      <w:pPr>
        <w:spacing w:after="0"/>
      </w:pPr>
      <w:r>
        <w:separator/>
      </w:r>
    </w:p>
  </w:footnote>
  <w:footnote w:type="continuationSeparator" w:id="0">
    <w:p w:rsidR="00164977" w:rsidRDefault="00164977" w:rsidP="002806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27"/>
      <w:gridCol w:w="5751"/>
    </w:tblGrid>
    <w:tr w:rsidR="00E7039B" w:rsidTr="00E7039B">
      <w:tc>
        <w:tcPr>
          <w:tcW w:w="3227" w:type="dxa"/>
        </w:tcPr>
        <w:p w:rsidR="00E7039B" w:rsidRDefault="00E7039B">
          <w:pPr>
            <w:pStyle w:val="Encabezado"/>
          </w:pPr>
          <w:r>
            <w:rPr>
              <w:noProof/>
              <w:lang w:val="es-MX" w:eastAsia="es-MX"/>
            </w:rPr>
            <w:drawing>
              <wp:inline distT="0" distB="0" distL="0" distR="0" wp14:anchorId="026CE3A2" wp14:editId="637C9752">
                <wp:extent cx="1676400" cy="917866"/>
                <wp:effectExtent l="0" t="0" r="0" b="0"/>
                <wp:docPr id="6" name="Imagen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Logo_CRE_complet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00608" cy="931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51" w:type="dxa"/>
        </w:tcPr>
        <w:p w:rsidR="00E7039B" w:rsidRPr="00915B58" w:rsidRDefault="00E7039B">
          <w:pPr>
            <w:pStyle w:val="Encabezado"/>
            <w:rPr>
              <w:color w:val="1F497D" w:themeColor="text2"/>
              <w:sz w:val="32"/>
              <w:szCs w:val="32"/>
            </w:rPr>
          </w:pPr>
        </w:p>
        <w:p w:rsidR="00E7039B" w:rsidRPr="00915B58" w:rsidRDefault="00E7039B">
          <w:pPr>
            <w:pStyle w:val="Encabezado"/>
            <w:rPr>
              <w:color w:val="1F497D" w:themeColor="text2"/>
              <w:sz w:val="32"/>
              <w:szCs w:val="32"/>
            </w:rPr>
          </w:pPr>
        </w:p>
        <w:p w:rsidR="00E7039B" w:rsidRPr="00915B58" w:rsidRDefault="00F22E4F" w:rsidP="00915B58">
          <w:pPr>
            <w:pStyle w:val="Encabezado"/>
            <w:jc w:val="center"/>
            <w:rPr>
              <w:color w:val="1F497D" w:themeColor="text2"/>
              <w:sz w:val="32"/>
              <w:szCs w:val="32"/>
            </w:rPr>
          </w:pPr>
          <w:r w:rsidRPr="00915B58">
            <w:rPr>
              <w:rFonts w:asciiTheme="majorHAnsi" w:hAnsiTheme="majorHAnsi"/>
              <w:b/>
              <w:color w:val="1F497D" w:themeColor="text2"/>
              <w:sz w:val="32"/>
              <w:szCs w:val="32"/>
            </w:rPr>
            <w:t>CONSEJO CONSULTIVO</w:t>
          </w:r>
          <w:r>
            <w:rPr>
              <w:rFonts w:asciiTheme="majorHAnsi" w:hAnsiTheme="majorHAnsi"/>
              <w:b/>
              <w:color w:val="1F497D" w:themeColor="text2"/>
              <w:sz w:val="32"/>
              <w:szCs w:val="32"/>
            </w:rPr>
            <w:t xml:space="preserve"> </w:t>
          </w:r>
          <w:r w:rsidRPr="00915B58">
            <w:rPr>
              <w:rFonts w:asciiTheme="majorHAnsi" w:hAnsiTheme="majorHAnsi"/>
              <w:b/>
              <w:color w:val="1F497D" w:themeColor="text2"/>
              <w:sz w:val="32"/>
              <w:szCs w:val="32"/>
            </w:rPr>
            <w:t xml:space="preserve">EN MATERIA </w:t>
          </w:r>
          <w:r>
            <w:rPr>
              <w:rFonts w:asciiTheme="majorHAnsi" w:hAnsiTheme="majorHAnsi"/>
              <w:b/>
              <w:color w:val="1F497D" w:themeColor="text2"/>
              <w:sz w:val="32"/>
              <w:szCs w:val="32"/>
            </w:rPr>
            <w:t xml:space="preserve">DE PETRÓLEO, GAS NATURAL, PETROLÍFEROS, PETROQUÍMICOS Y </w:t>
          </w:r>
          <w:r w:rsidRPr="004B514B">
            <w:rPr>
              <w:rFonts w:asciiTheme="majorHAnsi" w:hAnsiTheme="majorHAnsi"/>
              <w:b/>
              <w:color w:val="1F497D" w:themeColor="text2"/>
              <w:sz w:val="32"/>
              <w:szCs w:val="32"/>
            </w:rPr>
            <w:t>BIOENERGÉTICOS</w:t>
          </w:r>
        </w:p>
      </w:tc>
    </w:tr>
  </w:tbl>
  <w:p w:rsidR="00E7039B" w:rsidRDefault="00E7039B">
    <w:pPr>
      <w:pStyle w:val="Encabezado"/>
    </w:pPr>
  </w:p>
  <w:p w:rsidR="00280648" w:rsidRDefault="002E1386" w:rsidP="00E7039B">
    <w:pPr>
      <w:pStyle w:val="Encabezado"/>
      <w:pBdr>
        <w:bottom w:val="single" w:sz="4" w:space="1" w:color="auto"/>
      </w:pBd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94F165A" wp14:editId="1DF82B20">
              <wp:simplePos x="0" y="0"/>
              <wp:positionH relativeFrom="page">
                <wp:posOffset>-62865</wp:posOffset>
              </wp:positionH>
              <wp:positionV relativeFrom="page">
                <wp:posOffset>2272030</wp:posOffset>
              </wp:positionV>
              <wp:extent cx="143510" cy="478800"/>
              <wp:effectExtent l="0" t="0" r="8890" b="381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3510" cy="478800"/>
                      </a:xfrm>
                      <a:prstGeom prst="rect">
                        <a:avLst/>
                      </a:prstGeom>
                      <a:solidFill>
                        <a:srgbClr val="9FA1A4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6587D7B" id="Rectángulo 5" o:spid="_x0000_s1026" style="position:absolute;margin-left:-4.95pt;margin-top:178.9pt;width:11.3pt;height:37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BAohQIAAHEFAAAOAAAAZHJzL2Uyb0RvYy54bWysVN1O2zAUvp+0d7B8P9KUdkBFiipQp0kI&#10;KmDi2nXsNpLj4x27Tbu32bPsxXbspKFjSEjTbpJzfL7z/3N5tasN2yr0FdiC5ycDzpSVUFZ2VfBv&#10;T/NP55z5IGwpDFhV8L3y/Gr68cNl4yZqCGswpUJGRqyfNK7g6xDcJMu8XKta+BNwypJQA9YiEIur&#10;rETRkPXaZMPB4HPWAJYOQSrv6fWmFfJpsq+1kuFea68CMwWn2EL6Yvou4zebXorJCoVbV7ILQ/xD&#10;FLWoLDntTd2IINgGq79M1ZVE8KDDiYQ6A60rqVIOlE0+eJXN41o4lXKh4njXl8n/P7PybrtAVpUF&#10;H3NmRU0teqCi/fppVxsDbBwL1Dg/IdyjW2DHeSJjtjuNdfxTHmyXirrvi6p2gUl6zEen45xKL0k0&#10;Ojs/H6SiZy/KDn34oqBmkSg4kvtUSrG99YEcEvQAib48mKqcV8YkBlfLa4NsK6i/F/NZPhvFiEnl&#10;D5ixEWwhqrXi9kWlCencxDTbxBIV9kZFLWMflKYKxVRSXGk2Ve9VSKlsyDu3CR3VNLnqFU/fV+zw&#10;UbWNqlcevq/cayTPYEOvXFcW8C0Dpg9Zt3iq2lHekVxCuafhQGi3xjs5r6hFt8KHhUBaE+oqrX64&#10;p4820BQcOoqzNeCPt94jnqaXpJw1tHYF9983AhVn5qulub7IR6O4p4kZjc+GxOCxZHkssZv6Gqjz&#10;OR0ZJxMZ8cEcSI1QP9OFmEWvJBJWku+Cy4AH5jq054BujFSzWYLRbjoRbu2jk4euxxF82j0LdN2c&#10;BhrwOzisqJi8GtcWG/thYbYJoKs0yy917epNe53mtbtB8XAc8wn1cimnvwEAAP//AwBQSwMEFAAG&#10;AAgAAAAhAKlmPOHgAAAACQEAAA8AAABkcnMvZG93bnJldi54bWxMj8FOwzAQRO9I/IO1SNxapwm0&#10;NGRTISRAolxaQOpxG5skNF5bsduEv8c9wXG1TzNvitVoOnHSvW8tI8ymCQjNlVUt1wgf70+TOxA+&#10;ECvqLGuEH+1hVV5eFJQrO/BGn7ahFjGEfU4ITQgul9JXjTbkp9Zpjr8v2xsK8exrqXoaYrjpZJok&#10;c2mo5djQkNOPja4O26NBUIf595pe3j5dvxl3OzfQjJ5fEa+vxod7EEGP4Q+Gs35UhzI67e2RlRcd&#10;wmS5jCRCdruIE85AugCxR7jJshRkWcj/C8pfAAAA//8DAFBLAQItABQABgAIAAAAIQC2gziS/gAA&#10;AOEBAAATAAAAAAAAAAAAAAAAAAAAAABbQ29udGVudF9UeXBlc10ueG1sUEsBAi0AFAAGAAgAAAAh&#10;ADj9If/WAAAAlAEAAAsAAAAAAAAAAAAAAAAALwEAAF9yZWxzLy5yZWxzUEsBAi0AFAAGAAgAAAAh&#10;AHPcECiFAgAAcQUAAA4AAAAAAAAAAAAAAAAALgIAAGRycy9lMm9Eb2MueG1sUEsBAi0AFAAGAAgA&#10;AAAhAKlmPOHgAAAACQEAAA8AAAAAAAAAAAAAAAAA3wQAAGRycy9kb3ducmV2LnhtbFBLBQYAAAAA&#10;BAAEAPMAAADsBQAAAAA=&#10;" fillcolor="#9fa1a4" stroked="f">
              <w10:wrap anchorx="page" anchory="page"/>
            </v:rect>
          </w:pict>
        </mc:Fallback>
      </mc:AlternateContent>
    </w:r>
    <w:r w:rsidR="00280648">
      <w:rPr>
        <w:noProof/>
        <w:lang w:val="es-MX" w:eastAsia="es-MX"/>
      </w:rPr>
      <w:drawing>
        <wp:anchor distT="0" distB="0" distL="114300" distR="114300" simplePos="0" relativeHeight="251656704" behindDoc="0" locked="0" layoutInCell="1" allowOverlap="1" wp14:anchorId="6DAC6563" wp14:editId="549B2C1D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1292225" cy="1292225"/>
          <wp:effectExtent l="0" t="0" r="3175" b="3175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TIC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2225" cy="1292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270D0B"/>
    <w:multiLevelType w:val="hybridMultilevel"/>
    <w:tmpl w:val="2AFC8890"/>
    <w:lvl w:ilvl="0" w:tplc="94E23FAE">
      <w:start w:val="1"/>
      <w:numFmt w:val="decimal"/>
      <w:lvlText w:val="%1."/>
      <w:lvlJc w:val="left"/>
      <w:pPr>
        <w:ind w:left="720" w:hanging="360"/>
      </w:pPr>
      <w:rPr>
        <w:b/>
        <w:color w:val="1F497D" w:themeColor="text2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75034"/>
    <w:multiLevelType w:val="hybridMultilevel"/>
    <w:tmpl w:val="E8EEAAF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A97"/>
    <w:rsid w:val="000870DC"/>
    <w:rsid w:val="00092299"/>
    <w:rsid w:val="000A1F4A"/>
    <w:rsid w:val="000E5868"/>
    <w:rsid w:val="00164977"/>
    <w:rsid w:val="00280648"/>
    <w:rsid w:val="002E1386"/>
    <w:rsid w:val="004A7842"/>
    <w:rsid w:val="004D5711"/>
    <w:rsid w:val="00503D01"/>
    <w:rsid w:val="00554390"/>
    <w:rsid w:val="0062333B"/>
    <w:rsid w:val="00641F7D"/>
    <w:rsid w:val="00666DE3"/>
    <w:rsid w:val="00677BA7"/>
    <w:rsid w:val="006B16DC"/>
    <w:rsid w:val="00715FCF"/>
    <w:rsid w:val="00795A1D"/>
    <w:rsid w:val="00915B58"/>
    <w:rsid w:val="00A658A2"/>
    <w:rsid w:val="00AA6A97"/>
    <w:rsid w:val="00B34767"/>
    <w:rsid w:val="00B35261"/>
    <w:rsid w:val="00D9388C"/>
    <w:rsid w:val="00DE0CDD"/>
    <w:rsid w:val="00DE7F41"/>
    <w:rsid w:val="00E7039B"/>
    <w:rsid w:val="00F22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BC9F91"/>
  <w15:docId w15:val="{1A3B56EC-AD62-428B-BB19-5BC85876A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2333B"/>
    <w:pPr>
      <w:spacing w:after="0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2333B"/>
    <w:rPr>
      <w:rFonts w:ascii="Lucida Grande" w:hAnsi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280648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280648"/>
  </w:style>
  <w:style w:type="paragraph" w:styleId="Piedepgina">
    <w:name w:val="footer"/>
    <w:basedOn w:val="Normal"/>
    <w:link w:val="PiedepginaCar"/>
    <w:uiPriority w:val="99"/>
    <w:unhideWhenUsed/>
    <w:rsid w:val="00280648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648"/>
  </w:style>
  <w:style w:type="character" w:styleId="Nmerodepgina">
    <w:name w:val="page number"/>
    <w:basedOn w:val="Fuentedeprrafopredeter"/>
    <w:uiPriority w:val="99"/>
    <w:semiHidden/>
    <w:unhideWhenUsed/>
    <w:rsid w:val="000E5868"/>
  </w:style>
  <w:style w:type="paragraph" w:styleId="Prrafodelista">
    <w:name w:val="List Paragraph"/>
    <w:basedOn w:val="Normal"/>
    <w:uiPriority w:val="34"/>
    <w:qFormat/>
    <w:rsid w:val="00E7039B"/>
    <w:pPr>
      <w:spacing w:after="160" w:line="252" w:lineRule="auto"/>
      <w:ind w:left="720"/>
      <w:contextualSpacing/>
    </w:pPr>
    <w:rPr>
      <w:rFonts w:ascii="Calibri" w:eastAsiaTheme="minorHAnsi" w:hAnsi="Calibri" w:cs="Times New Roman"/>
      <w:sz w:val="22"/>
      <w:szCs w:val="22"/>
      <w:lang w:val="es-MX" w:eastAsia="en-US"/>
    </w:rPr>
  </w:style>
  <w:style w:type="table" w:styleId="Tablaconcuadrcula">
    <w:name w:val="Table Grid"/>
    <w:basedOn w:val="Tablanormal"/>
    <w:uiPriority w:val="59"/>
    <w:rsid w:val="00E7039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381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Comisión Reguladora de Energía</Company>
  <LinksUpToDate>false</LinksUpToDate>
  <CharactersWithSpaces>1034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</dc:creator>
  <cp:keywords/>
  <dc:description/>
  <cp:lastModifiedBy>Claudia Delgado Martinez</cp:lastModifiedBy>
  <cp:revision>2</cp:revision>
  <cp:lastPrinted>2015-11-05T20:40:00Z</cp:lastPrinted>
  <dcterms:created xsi:type="dcterms:W3CDTF">2015-12-11T20:23:00Z</dcterms:created>
  <dcterms:modified xsi:type="dcterms:W3CDTF">2015-12-11T20:23:00Z</dcterms:modified>
</cp:coreProperties>
</file>