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DA96E" w14:textId="77777777" w:rsidR="00DF1540" w:rsidRPr="00E63224" w:rsidRDefault="00DB1D00" w:rsidP="002451B3">
      <w:pPr>
        <w:pStyle w:val="Ttulo1"/>
        <w:numPr>
          <w:ilvl w:val="0"/>
          <w:numId w:val="0"/>
        </w:numPr>
        <w:jc w:val="center"/>
        <w:rPr>
          <w:rFonts w:ascii="Arial Narrow" w:hAnsi="Arial Narrow"/>
          <w:color w:val="auto"/>
          <w:sz w:val="32"/>
        </w:rPr>
      </w:pPr>
      <w:r w:rsidRPr="00E63224">
        <w:rPr>
          <w:rFonts w:ascii="Arial Narrow" w:hAnsi="Arial Narrow" w:cs="Arial"/>
          <w:color w:val="auto"/>
          <w:sz w:val="22"/>
        </w:rPr>
        <w:t>Memoria de cálculo usada para determinar la tarifa que aplicará la Comisi</w:t>
      </w:r>
      <w:r w:rsidR="003B741C">
        <w:rPr>
          <w:rFonts w:ascii="Arial Narrow" w:hAnsi="Arial Narrow" w:cs="Arial"/>
          <w:color w:val="auto"/>
          <w:sz w:val="22"/>
        </w:rPr>
        <w:t>ón Federal de Electricidad</w:t>
      </w:r>
      <w:r w:rsidR="00E563AB">
        <w:rPr>
          <w:rFonts w:ascii="Arial Narrow" w:hAnsi="Arial Narrow" w:cs="Arial"/>
          <w:color w:val="auto"/>
          <w:sz w:val="22"/>
        </w:rPr>
        <w:t xml:space="preserve"> por el servicio público de T</w:t>
      </w:r>
      <w:r w:rsidRPr="00E63224">
        <w:rPr>
          <w:rFonts w:ascii="Arial Narrow" w:hAnsi="Arial Narrow" w:cs="Arial"/>
          <w:color w:val="auto"/>
          <w:sz w:val="22"/>
        </w:rPr>
        <w:t>ransmisión de energía eléctrica durante el periodo tarifario inicial que comprende de</w:t>
      </w:r>
      <w:r w:rsidR="00AA7731">
        <w:rPr>
          <w:rFonts w:ascii="Arial Narrow" w:hAnsi="Arial Narrow" w:cs="Arial"/>
          <w:color w:val="auto"/>
          <w:sz w:val="22"/>
        </w:rPr>
        <w:t>l</w:t>
      </w:r>
      <w:r w:rsidRPr="00E63224">
        <w:rPr>
          <w:rFonts w:ascii="Arial Narrow" w:hAnsi="Arial Narrow" w:cs="Arial"/>
          <w:color w:val="auto"/>
          <w:sz w:val="22"/>
        </w:rPr>
        <w:t xml:space="preserve"> 1 de enero de 2016 y hasta el 31 de diciembre de 2018</w:t>
      </w:r>
      <w:r w:rsidRPr="00E63224">
        <w:rPr>
          <w:rFonts w:ascii="Arial Narrow" w:hAnsi="Arial Narrow" w:cs="Arial"/>
          <w:sz w:val="22"/>
        </w:rPr>
        <w:t>.</w:t>
      </w:r>
    </w:p>
    <w:p w14:paraId="09899677" w14:textId="77777777" w:rsidR="00EA03FB" w:rsidRDefault="00EA03FB" w:rsidP="00B166C6">
      <w:pPr>
        <w:rPr>
          <w:rFonts w:ascii="Arial Narrow" w:eastAsia="Arial Unicode MS" w:hAnsi="Arial Narrow" w:cs="Arial"/>
          <w:b/>
        </w:rPr>
      </w:pPr>
    </w:p>
    <w:p w14:paraId="7E5DFADD" w14:textId="2B26D36A" w:rsidR="000B28F3" w:rsidRPr="00750AD2" w:rsidRDefault="00C61CCA" w:rsidP="00B166C6">
      <w:pPr>
        <w:rPr>
          <w:rFonts w:ascii="Arial Narrow" w:eastAsia="Arial Unicode MS" w:hAnsi="Arial Narrow" w:cs="Arial"/>
        </w:rPr>
      </w:pPr>
      <w:r w:rsidRPr="00750AD2">
        <w:rPr>
          <w:rFonts w:ascii="Arial Narrow" w:eastAsia="Arial Unicode MS" w:hAnsi="Arial Narrow" w:cs="Arial"/>
          <w:b/>
        </w:rPr>
        <w:t>Fecha</w:t>
      </w:r>
      <w:r w:rsidR="000A1C12" w:rsidRPr="00750AD2">
        <w:rPr>
          <w:rFonts w:ascii="Arial Narrow" w:eastAsia="Arial Unicode MS" w:hAnsi="Arial Narrow" w:cs="Arial"/>
          <w:b/>
        </w:rPr>
        <w:t>:</w:t>
      </w:r>
      <w:r w:rsidR="000A1C12" w:rsidRPr="00750AD2">
        <w:rPr>
          <w:rFonts w:ascii="Arial Narrow" w:eastAsia="Arial Unicode MS" w:hAnsi="Arial Narrow" w:cs="Arial"/>
        </w:rPr>
        <w:t xml:space="preserve"> </w:t>
      </w:r>
      <w:r w:rsidR="00F22A7D">
        <w:rPr>
          <w:rFonts w:ascii="Arial Narrow" w:eastAsia="Arial Unicode MS" w:hAnsi="Arial Narrow" w:cs="Arial"/>
        </w:rPr>
        <w:t>noviembre</w:t>
      </w:r>
      <w:r w:rsidR="00A912C5">
        <w:rPr>
          <w:rFonts w:ascii="Arial Narrow" w:eastAsia="Arial Unicode MS" w:hAnsi="Arial Narrow" w:cs="Arial"/>
        </w:rPr>
        <w:t xml:space="preserve"> de 2015</w:t>
      </w:r>
      <w:r w:rsidR="000B28F3">
        <w:rPr>
          <w:rFonts w:ascii="Arial Narrow" w:eastAsia="Arial Unicode MS" w:hAnsi="Arial Narrow" w:cs="Arial"/>
        </w:rPr>
        <w:t>.</w:t>
      </w:r>
    </w:p>
    <w:p w14:paraId="766DF3DB" w14:textId="77777777" w:rsidR="00582D1F" w:rsidRPr="00750AD2" w:rsidRDefault="00533DD4" w:rsidP="009A4BC1">
      <w:pPr>
        <w:pStyle w:val="Sinespaciado"/>
        <w:spacing w:before="120" w:after="120"/>
        <w:jc w:val="center"/>
        <w:rPr>
          <w:rFonts w:ascii="Arial Narrow" w:hAnsi="Arial Narrow" w:cs="Arial"/>
          <w:b/>
        </w:rPr>
      </w:pPr>
      <w:r>
        <w:rPr>
          <w:rFonts w:ascii="Arial Narrow" w:hAnsi="Arial Narrow" w:cs="Arial"/>
          <w:b/>
        </w:rPr>
        <w:t>Resumen</w:t>
      </w:r>
    </w:p>
    <w:p w14:paraId="73311742" w14:textId="77777777" w:rsidR="00DB1D00" w:rsidRDefault="00DB1D00" w:rsidP="00BD60EE">
      <w:pPr>
        <w:autoSpaceDE w:val="0"/>
        <w:autoSpaceDN w:val="0"/>
        <w:adjustRightInd w:val="0"/>
        <w:spacing w:after="0" w:line="240" w:lineRule="auto"/>
        <w:ind w:left="708" w:right="851"/>
        <w:jc w:val="both"/>
        <w:rPr>
          <w:rFonts w:ascii="Arial Narrow" w:hAnsi="Arial Narrow" w:cs="Arial"/>
          <w:sz w:val="20"/>
        </w:rPr>
      </w:pPr>
    </w:p>
    <w:p w14:paraId="3D56452C" w14:textId="78F94B83" w:rsidR="00177A2B" w:rsidRPr="00750AD2" w:rsidRDefault="00DB1D00" w:rsidP="00177A2B">
      <w:pPr>
        <w:autoSpaceDE w:val="0"/>
        <w:autoSpaceDN w:val="0"/>
        <w:adjustRightInd w:val="0"/>
        <w:spacing w:after="0" w:line="240" w:lineRule="auto"/>
        <w:ind w:left="708" w:right="851"/>
        <w:jc w:val="both"/>
        <w:rPr>
          <w:rFonts w:ascii="Arial Narrow" w:hAnsi="Arial Narrow" w:cs="Arial"/>
          <w:sz w:val="20"/>
        </w:rPr>
      </w:pPr>
      <w:r>
        <w:rPr>
          <w:rFonts w:ascii="Arial Narrow" w:hAnsi="Arial Narrow" w:cs="Arial"/>
          <w:sz w:val="20"/>
        </w:rPr>
        <w:t xml:space="preserve">Con el objeto de dar cumplimiento a lo dispuesto </w:t>
      </w:r>
      <w:r w:rsidR="00BA7627">
        <w:rPr>
          <w:rFonts w:ascii="Arial Narrow" w:hAnsi="Arial Narrow" w:cs="Arial"/>
          <w:sz w:val="20"/>
        </w:rPr>
        <w:t xml:space="preserve">por </w:t>
      </w:r>
      <w:r>
        <w:rPr>
          <w:rFonts w:ascii="Arial Narrow" w:hAnsi="Arial Narrow" w:cs="Arial"/>
          <w:sz w:val="20"/>
        </w:rPr>
        <w:t>l</w:t>
      </w:r>
      <w:r w:rsidR="00BA7627">
        <w:rPr>
          <w:rFonts w:ascii="Arial Narrow" w:hAnsi="Arial Narrow" w:cs="Arial"/>
          <w:sz w:val="20"/>
        </w:rPr>
        <w:t>os</w:t>
      </w:r>
      <w:r>
        <w:rPr>
          <w:rFonts w:ascii="Arial Narrow" w:hAnsi="Arial Narrow" w:cs="Arial"/>
          <w:sz w:val="20"/>
        </w:rPr>
        <w:t xml:space="preserve"> artículo</w:t>
      </w:r>
      <w:r w:rsidR="00BA7627">
        <w:rPr>
          <w:rFonts w:ascii="Arial Narrow" w:hAnsi="Arial Narrow" w:cs="Arial"/>
          <w:sz w:val="20"/>
        </w:rPr>
        <w:t>s</w:t>
      </w:r>
      <w:r>
        <w:rPr>
          <w:rFonts w:ascii="Arial Narrow" w:hAnsi="Arial Narrow" w:cs="Arial"/>
          <w:sz w:val="20"/>
        </w:rPr>
        <w:t xml:space="preserve"> 139 de la Ley de la Industria Eléctrica, esta Comisión Reguladora de Energía (esta Comisión) presenta la memoria de cálculo utilizada para determinar la tarifa que aplicará la Comisión Federal de Electricidad (la CFE) por el servic</w:t>
      </w:r>
      <w:r w:rsidR="00E563AB">
        <w:rPr>
          <w:rFonts w:ascii="Arial Narrow" w:hAnsi="Arial Narrow" w:cs="Arial"/>
          <w:sz w:val="20"/>
        </w:rPr>
        <w:t>io público de T</w:t>
      </w:r>
      <w:r>
        <w:rPr>
          <w:rFonts w:ascii="Arial Narrow" w:hAnsi="Arial Narrow" w:cs="Arial"/>
          <w:sz w:val="20"/>
        </w:rPr>
        <w:t>ransmisión de energía eléctrica durante el periodo tarifario inicial</w:t>
      </w:r>
      <w:r w:rsidR="005561D8">
        <w:rPr>
          <w:rFonts w:ascii="Arial Narrow" w:hAnsi="Arial Narrow" w:cs="Arial"/>
          <w:sz w:val="20"/>
        </w:rPr>
        <w:t xml:space="preserve"> que</w:t>
      </w:r>
      <w:r w:rsidR="00E563AB">
        <w:rPr>
          <w:rFonts w:ascii="Arial Narrow" w:hAnsi="Arial Narrow" w:cs="Arial"/>
          <w:sz w:val="20"/>
        </w:rPr>
        <w:t xml:space="preserve"> </w:t>
      </w:r>
      <w:r>
        <w:rPr>
          <w:rFonts w:ascii="Arial Narrow" w:hAnsi="Arial Narrow" w:cs="Arial"/>
          <w:sz w:val="20"/>
        </w:rPr>
        <w:t>comprende de</w:t>
      </w:r>
      <w:r w:rsidR="00E563AB">
        <w:rPr>
          <w:rFonts w:ascii="Arial Narrow" w:hAnsi="Arial Narrow" w:cs="Arial"/>
          <w:sz w:val="20"/>
        </w:rPr>
        <w:t xml:space="preserve">l 1 de enero de 2016 </w:t>
      </w:r>
      <w:r>
        <w:rPr>
          <w:rFonts w:ascii="Arial Narrow" w:hAnsi="Arial Narrow" w:cs="Arial"/>
          <w:sz w:val="20"/>
        </w:rPr>
        <w:t>hasta el 31 de diciembre de 2018</w:t>
      </w:r>
      <w:r w:rsidR="00E563AB">
        <w:rPr>
          <w:rFonts w:ascii="Arial Narrow" w:hAnsi="Arial Narrow" w:cs="Arial"/>
          <w:sz w:val="20"/>
        </w:rPr>
        <w:t>.</w:t>
      </w:r>
      <w:r w:rsidR="00533DD4" w:rsidRPr="00533DD4">
        <w:t xml:space="preserve"> </w:t>
      </w:r>
      <w:r w:rsidR="00177A2B">
        <w:rPr>
          <w:rFonts w:ascii="Arial Narrow" w:hAnsi="Arial Narrow" w:cs="Arial"/>
          <w:sz w:val="20"/>
        </w:rPr>
        <w:t>E</w:t>
      </w:r>
      <w:r w:rsidR="00177A2B" w:rsidRPr="006B4697">
        <w:rPr>
          <w:rFonts w:ascii="Arial Narrow" w:hAnsi="Arial Narrow" w:cs="Arial"/>
          <w:sz w:val="20"/>
        </w:rPr>
        <w:t>l diseño de las tarifas se realizó por medio de la modalidad de "estampilla postal" determinada con base en las inyecciones o extracciones de energía que cada generador</w:t>
      </w:r>
      <w:r w:rsidR="00177A2B">
        <w:rPr>
          <w:rFonts w:ascii="Arial Narrow" w:hAnsi="Arial Narrow" w:cs="Arial"/>
          <w:sz w:val="20"/>
        </w:rPr>
        <w:t xml:space="preserve"> o consumidor</w:t>
      </w:r>
      <w:r w:rsidR="00177A2B" w:rsidRPr="006B4697">
        <w:rPr>
          <w:rFonts w:ascii="Arial Narrow" w:hAnsi="Arial Narrow" w:cs="Arial"/>
          <w:sz w:val="20"/>
        </w:rPr>
        <w:t xml:space="preserve"> hace de la Red Nacional de Transmisión</w:t>
      </w:r>
      <w:r w:rsidR="008658C6">
        <w:rPr>
          <w:rFonts w:ascii="Arial Narrow" w:hAnsi="Arial Narrow" w:cs="Arial"/>
          <w:sz w:val="20"/>
        </w:rPr>
        <w:t xml:space="preserve"> (RNT)</w:t>
      </w:r>
      <w:r w:rsidR="007E4666">
        <w:rPr>
          <w:rFonts w:ascii="Arial Narrow" w:hAnsi="Arial Narrow" w:cs="Arial"/>
          <w:sz w:val="20"/>
        </w:rPr>
        <w:t>.</w:t>
      </w:r>
      <w:r w:rsidR="00177A2B">
        <w:rPr>
          <w:rFonts w:ascii="Arial Narrow" w:hAnsi="Arial Narrow" w:cs="Arial"/>
          <w:sz w:val="20"/>
        </w:rPr>
        <w:t xml:space="preserve"> Para obtener el ingreso requerido total, se consideran los costos </w:t>
      </w:r>
      <w:r w:rsidR="00AA7731">
        <w:rPr>
          <w:rFonts w:ascii="Arial Narrow" w:hAnsi="Arial Narrow" w:cs="Arial"/>
          <w:sz w:val="20"/>
        </w:rPr>
        <w:t xml:space="preserve">incurridos </w:t>
      </w:r>
      <w:r w:rsidR="00177A2B">
        <w:rPr>
          <w:rFonts w:ascii="Arial Narrow" w:hAnsi="Arial Narrow" w:cs="Arial"/>
          <w:sz w:val="20"/>
        </w:rPr>
        <w:t xml:space="preserve">por la CFE en 2014 proyectados a </w:t>
      </w:r>
      <w:r w:rsidR="003A480C">
        <w:rPr>
          <w:rFonts w:ascii="Arial Narrow" w:hAnsi="Arial Narrow" w:cs="Arial"/>
          <w:sz w:val="20"/>
        </w:rPr>
        <w:t xml:space="preserve">los años </w:t>
      </w:r>
      <w:r w:rsidR="00177A2B">
        <w:rPr>
          <w:rFonts w:ascii="Arial Narrow" w:hAnsi="Arial Narrow" w:cs="Arial"/>
          <w:sz w:val="20"/>
        </w:rPr>
        <w:t xml:space="preserve">2016, 2017, 2018 y la asignación de los mismos por función: </w:t>
      </w:r>
      <w:r w:rsidR="00177A2B" w:rsidRPr="00AA2059">
        <w:rPr>
          <w:rFonts w:ascii="Arial Narrow" w:hAnsi="Arial Narrow" w:cs="Arial"/>
          <w:sz w:val="20"/>
        </w:rPr>
        <w:t>Generación, Transmis</w:t>
      </w:r>
      <w:r w:rsidR="00681D99">
        <w:rPr>
          <w:rFonts w:ascii="Arial Narrow" w:hAnsi="Arial Narrow" w:cs="Arial"/>
          <w:sz w:val="20"/>
        </w:rPr>
        <w:t xml:space="preserve">ión, </w:t>
      </w:r>
      <w:r w:rsidR="00177A2B" w:rsidRPr="00AA2059">
        <w:rPr>
          <w:rFonts w:ascii="Arial Narrow" w:hAnsi="Arial Narrow" w:cs="Arial"/>
          <w:sz w:val="20"/>
        </w:rPr>
        <w:t xml:space="preserve">Distribución y </w:t>
      </w:r>
      <w:r w:rsidR="00681D99">
        <w:rPr>
          <w:rFonts w:ascii="Arial Narrow" w:hAnsi="Arial Narrow" w:cs="Arial"/>
          <w:sz w:val="20"/>
        </w:rPr>
        <w:t>Suministro</w:t>
      </w:r>
      <w:r w:rsidR="004A7128">
        <w:rPr>
          <w:rStyle w:val="Refdenotaalpie"/>
          <w:rFonts w:ascii="Arial Narrow" w:hAnsi="Arial Narrow" w:cs="Arial"/>
          <w:sz w:val="20"/>
        </w:rPr>
        <w:footnoteReference w:id="1"/>
      </w:r>
      <w:r w:rsidR="00177A2B" w:rsidRPr="00AA7731">
        <w:rPr>
          <w:rFonts w:ascii="Arial Narrow" w:hAnsi="Arial Narrow" w:cs="Arial"/>
          <w:sz w:val="20"/>
        </w:rPr>
        <w:t>. Para el denominador de la tarifa se considera la energía entregada por los generadores a cada nivel de tensión y las ventas de energía por nivel de tensión</w:t>
      </w:r>
      <w:r w:rsidR="00681D99">
        <w:rPr>
          <w:rFonts w:ascii="Arial Narrow" w:hAnsi="Arial Narrow" w:cs="Arial"/>
          <w:sz w:val="20"/>
        </w:rPr>
        <w:t xml:space="preserve"> (mayor o igual a 200kV</w:t>
      </w:r>
      <w:r w:rsidR="00177A2B" w:rsidRPr="00AA7731">
        <w:rPr>
          <w:rFonts w:ascii="Arial Narrow" w:hAnsi="Arial Narrow" w:cs="Arial"/>
          <w:sz w:val="20"/>
        </w:rPr>
        <w:t xml:space="preserve"> </w:t>
      </w:r>
      <w:r w:rsidR="00681D99">
        <w:rPr>
          <w:rFonts w:ascii="Arial Narrow" w:hAnsi="Arial Narrow" w:cs="Arial"/>
          <w:sz w:val="20"/>
        </w:rPr>
        <w:t xml:space="preserve">y menor a 220kV) </w:t>
      </w:r>
      <w:r w:rsidR="00177A2B" w:rsidRPr="00AA7731">
        <w:rPr>
          <w:rFonts w:ascii="Arial Narrow" w:hAnsi="Arial Narrow" w:cs="Arial"/>
          <w:sz w:val="20"/>
        </w:rPr>
        <w:t>estimadas por CFE para 2016.</w:t>
      </w:r>
    </w:p>
    <w:p w14:paraId="31A88F1D" w14:textId="77777777" w:rsidR="00FE40CA" w:rsidRDefault="00E563AB" w:rsidP="00533DD4">
      <w:pPr>
        <w:autoSpaceDE w:val="0"/>
        <w:autoSpaceDN w:val="0"/>
        <w:adjustRightInd w:val="0"/>
        <w:spacing w:after="0" w:line="240" w:lineRule="auto"/>
        <w:ind w:left="708" w:right="851"/>
        <w:jc w:val="both"/>
        <w:rPr>
          <w:rFonts w:ascii="Arial Narrow" w:hAnsi="Arial Narrow" w:cs="Arial"/>
          <w:sz w:val="20"/>
        </w:rPr>
      </w:pPr>
      <w:r>
        <w:rPr>
          <w:rFonts w:ascii="Arial Narrow" w:hAnsi="Arial Narrow" w:cs="Arial"/>
          <w:sz w:val="20"/>
        </w:rPr>
        <w:t xml:space="preserve"> </w:t>
      </w:r>
      <w:bookmarkStart w:id="0" w:name="_Ref433294169"/>
    </w:p>
    <w:p w14:paraId="1B41E19D" w14:textId="77777777" w:rsidR="00FE40CA" w:rsidRDefault="00FE40CA" w:rsidP="00ED4F1B">
      <w:pPr>
        <w:pStyle w:val="Ttulo1"/>
        <w:spacing w:before="0" w:line="240" w:lineRule="auto"/>
        <w:ind w:left="431" w:hanging="431"/>
        <w:rPr>
          <w:rFonts w:ascii="Arial Narrow" w:hAnsi="Arial Narrow"/>
          <w:color w:val="000000" w:themeColor="text1"/>
          <w:sz w:val="22"/>
          <w:szCs w:val="22"/>
        </w:rPr>
      </w:pPr>
      <w:r>
        <w:rPr>
          <w:rFonts w:ascii="Arial Narrow" w:hAnsi="Arial Narrow"/>
          <w:color w:val="000000" w:themeColor="text1"/>
          <w:sz w:val="22"/>
          <w:szCs w:val="22"/>
        </w:rPr>
        <w:t>Introducción</w:t>
      </w:r>
      <w:r>
        <w:rPr>
          <w:rFonts w:ascii="Arial Narrow" w:hAnsi="Arial Narrow"/>
          <w:color w:val="000000" w:themeColor="text1"/>
          <w:sz w:val="22"/>
          <w:szCs w:val="22"/>
        </w:rPr>
        <w:br/>
      </w:r>
    </w:p>
    <w:p w14:paraId="497902FA" w14:textId="49FE3B30" w:rsidR="00FE40CA" w:rsidRPr="00FE40CA" w:rsidRDefault="00530D79" w:rsidP="00FE40CA">
      <w:pPr>
        <w:tabs>
          <w:tab w:val="left" w:pos="0"/>
        </w:tabs>
        <w:autoSpaceDE w:val="0"/>
        <w:autoSpaceDN w:val="0"/>
        <w:adjustRightInd w:val="0"/>
        <w:spacing w:after="0" w:line="240" w:lineRule="auto"/>
        <w:ind w:right="-14"/>
        <w:jc w:val="both"/>
        <w:rPr>
          <w:rFonts w:ascii="Arial Narrow" w:hAnsi="Arial Narrow" w:cs="Arial"/>
        </w:rPr>
      </w:pPr>
      <w:r w:rsidRPr="003E54AC">
        <w:rPr>
          <w:rFonts w:ascii="Arial Narrow" w:hAnsi="Arial Narrow" w:cs="Arial"/>
        </w:rPr>
        <w:t xml:space="preserve">Con fundamento en los artículos, 22, fracción XXII, inciso f), de la Ley de los Órganos Reguladores Coordinados en Materia Energética; </w:t>
      </w:r>
      <w:r w:rsidR="003E54AC" w:rsidRPr="003E54AC">
        <w:rPr>
          <w:rFonts w:ascii="Arial Narrow" w:hAnsi="Arial Narrow" w:cs="Arial"/>
        </w:rPr>
        <w:t xml:space="preserve">12, fracciones IV y V, </w:t>
      </w:r>
      <w:r w:rsidR="00E23591">
        <w:rPr>
          <w:rFonts w:ascii="Arial Narrow" w:hAnsi="Arial Narrow" w:cs="Arial"/>
        </w:rPr>
        <w:t xml:space="preserve">27, </w:t>
      </w:r>
      <w:r w:rsidR="003E54AC" w:rsidRPr="003E54AC">
        <w:rPr>
          <w:rFonts w:ascii="Arial Narrow" w:hAnsi="Arial Narrow" w:cs="Arial"/>
        </w:rPr>
        <w:t>58</w:t>
      </w:r>
      <w:r w:rsidR="00E23591">
        <w:rPr>
          <w:rFonts w:ascii="Arial Narrow" w:hAnsi="Arial Narrow" w:cs="Arial"/>
        </w:rPr>
        <w:t>, 138,</w:t>
      </w:r>
      <w:r w:rsidR="003E54AC" w:rsidRPr="003E54AC">
        <w:rPr>
          <w:rFonts w:ascii="Arial Narrow" w:hAnsi="Arial Narrow" w:cs="Arial"/>
        </w:rPr>
        <w:t xml:space="preserve"> </w:t>
      </w:r>
      <w:r w:rsidR="00E23591">
        <w:rPr>
          <w:rFonts w:ascii="Arial Narrow" w:hAnsi="Arial Narrow" w:cs="Arial"/>
        </w:rPr>
        <w:t xml:space="preserve">139 y 140, fracción I y II </w:t>
      </w:r>
      <w:r w:rsidR="003E54AC" w:rsidRPr="003E54AC">
        <w:rPr>
          <w:rFonts w:ascii="Arial Narrow" w:hAnsi="Arial Narrow" w:cs="Arial"/>
        </w:rPr>
        <w:t xml:space="preserve">de la Ley de la Industria Eléctrica; </w:t>
      </w:r>
      <w:r w:rsidRPr="003E54AC">
        <w:rPr>
          <w:rFonts w:ascii="Arial Narrow" w:hAnsi="Arial Narrow" w:cs="Arial"/>
        </w:rPr>
        <w:t xml:space="preserve">7, fracción XV y 9 de la Ley Federal de Transparencia y Acceso a la Información Pública Gubernamental; y 8 de su Reglamento, </w:t>
      </w:r>
      <w:r w:rsidR="003E54AC" w:rsidRPr="003E54AC">
        <w:rPr>
          <w:rFonts w:ascii="Arial Narrow" w:hAnsi="Arial Narrow" w:cs="Arial"/>
        </w:rPr>
        <w:t xml:space="preserve">la Comisión </w:t>
      </w:r>
      <w:r w:rsidR="003E54AC">
        <w:rPr>
          <w:rFonts w:ascii="Arial Narrow" w:hAnsi="Arial Narrow" w:cs="Arial"/>
        </w:rPr>
        <w:t xml:space="preserve">publicó </w:t>
      </w:r>
      <w:r w:rsidR="003E54AC" w:rsidRPr="003E54AC">
        <w:rPr>
          <w:rFonts w:ascii="Arial Narrow" w:hAnsi="Arial Narrow" w:cs="Arial"/>
        </w:rPr>
        <w:t>el Acuerdo A/045/2015</w:t>
      </w:r>
      <w:r w:rsidR="003E54AC" w:rsidRPr="003E54AC">
        <w:rPr>
          <w:rStyle w:val="Refdenotaalpie"/>
          <w:rFonts w:ascii="Arial Narrow" w:hAnsi="Arial Narrow" w:cs="Arial"/>
        </w:rPr>
        <w:footnoteReference w:id="2"/>
      </w:r>
      <w:r w:rsidR="003E54AC" w:rsidRPr="003E54AC">
        <w:rPr>
          <w:rFonts w:ascii="Arial Narrow" w:hAnsi="Arial Narrow" w:cs="Arial"/>
        </w:rPr>
        <w:t>, de fecha 7 de septiembre de 2014</w:t>
      </w:r>
      <w:r w:rsidR="003E54AC">
        <w:rPr>
          <w:rFonts w:ascii="Arial Narrow" w:hAnsi="Arial Narrow" w:cs="Arial"/>
        </w:rPr>
        <w:t>,</w:t>
      </w:r>
      <w:r w:rsidR="003E54AC" w:rsidRPr="003E54AC">
        <w:rPr>
          <w:rFonts w:ascii="Arial Narrow" w:hAnsi="Arial Narrow" w:cs="Arial"/>
        </w:rPr>
        <w:t xml:space="preserve"> a través del cual emitió l</w:t>
      </w:r>
      <w:r w:rsidR="00FE40CA" w:rsidRPr="003E54AC">
        <w:rPr>
          <w:rFonts w:ascii="Arial Narrow" w:hAnsi="Arial Narrow" w:cs="Arial"/>
        </w:rPr>
        <w:t xml:space="preserve">as tarifas para el servicio público de Transmisión de energía eléctrica, </w:t>
      </w:r>
      <w:r w:rsidR="003E54AC" w:rsidRPr="003E54AC">
        <w:rPr>
          <w:rFonts w:ascii="Arial Narrow" w:hAnsi="Arial Narrow" w:cs="Arial"/>
        </w:rPr>
        <w:t>las cuales</w:t>
      </w:r>
      <w:r w:rsidR="003E54AC">
        <w:rPr>
          <w:rFonts w:ascii="Arial Narrow" w:hAnsi="Arial Narrow" w:cs="Arial"/>
        </w:rPr>
        <w:t xml:space="preserve"> </w:t>
      </w:r>
      <w:r w:rsidR="00FE40CA" w:rsidRPr="00FE40CA">
        <w:rPr>
          <w:rFonts w:ascii="Arial Narrow" w:hAnsi="Arial Narrow" w:cs="Arial"/>
        </w:rPr>
        <w:t xml:space="preserve">se determinaron con base en una metodología del tipo “estampilla postal” diferenciada por el nivel de tensión al que se inyecta o extrae la energía eléctrica de la RNT, lo cual origina dos </w:t>
      </w:r>
      <w:r w:rsidR="004A7128">
        <w:rPr>
          <w:rFonts w:ascii="Arial Narrow" w:hAnsi="Arial Narrow" w:cs="Arial"/>
        </w:rPr>
        <w:t xml:space="preserve">cargos por nivel de tensión, </w:t>
      </w:r>
      <w:r w:rsidR="00FE40CA" w:rsidRPr="00FE40CA">
        <w:rPr>
          <w:rFonts w:ascii="Arial Narrow" w:hAnsi="Arial Narrow" w:cs="Arial"/>
        </w:rPr>
        <w:t>para</w:t>
      </w:r>
      <w:r w:rsidR="004A7128">
        <w:rPr>
          <w:rFonts w:ascii="Arial Narrow" w:hAnsi="Arial Narrow" w:cs="Arial"/>
        </w:rPr>
        <w:t xml:space="preserve"> cada grupo de demanda: 1) </w:t>
      </w:r>
      <w:r w:rsidR="00FE40CA" w:rsidRPr="00FE40CA">
        <w:rPr>
          <w:rFonts w:ascii="Arial Narrow" w:hAnsi="Arial Narrow" w:cs="Arial"/>
        </w:rPr>
        <w:t xml:space="preserve">generadores </w:t>
      </w:r>
      <w:r w:rsidR="004A7128">
        <w:rPr>
          <w:rFonts w:ascii="Arial Narrow" w:hAnsi="Arial Narrow" w:cs="Arial"/>
        </w:rPr>
        <w:t>(inyección a la RNT) y 2)</w:t>
      </w:r>
      <w:r w:rsidR="00FE40CA" w:rsidRPr="00FE40CA">
        <w:rPr>
          <w:rFonts w:ascii="Arial Narrow" w:hAnsi="Arial Narrow" w:cs="Arial"/>
        </w:rPr>
        <w:t xml:space="preserve"> consum</w:t>
      </w:r>
      <w:r w:rsidR="007E4666">
        <w:rPr>
          <w:rFonts w:ascii="Arial Narrow" w:hAnsi="Arial Narrow" w:cs="Arial"/>
        </w:rPr>
        <w:t>idores (extracción de la RNT).</w:t>
      </w:r>
    </w:p>
    <w:p w14:paraId="4273FA7A" w14:textId="77777777" w:rsidR="00FE40CA" w:rsidRPr="00FE40CA" w:rsidRDefault="00FE40CA" w:rsidP="00FE40CA">
      <w:pPr>
        <w:tabs>
          <w:tab w:val="left" w:pos="0"/>
        </w:tabs>
        <w:autoSpaceDE w:val="0"/>
        <w:autoSpaceDN w:val="0"/>
        <w:adjustRightInd w:val="0"/>
        <w:spacing w:after="0" w:line="240" w:lineRule="auto"/>
        <w:ind w:right="-14"/>
        <w:jc w:val="both"/>
        <w:rPr>
          <w:rFonts w:ascii="Arial Narrow" w:hAnsi="Arial Narrow" w:cs="Arial"/>
        </w:rPr>
      </w:pPr>
    </w:p>
    <w:p w14:paraId="765CE2FF" w14:textId="1C0156A5" w:rsidR="00FE40CA" w:rsidRPr="00FE40CA" w:rsidRDefault="004A7128" w:rsidP="00663761">
      <w:pPr>
        <w:tabs>
          <w:tab w:val="left" w:pos="0"/>
        </w:tabs>
        <w:autoSpaceDE w:val="0"/>
        <w:autoSpaceDN w:val="0"/>
        <w:adjustRightInd w:val="0"/>
        <w:spacing w:after="0" w:line="240" w:lineRule="auto"/>
        <w:ind w:right="-14"/>
        <w:jc w:val="both"/>
        <w:rPr>
          <w:rFonts w:ascii="Arial Narrow" w:hAnsi="Arial Narrow" w:cs="Arial"/>
        </w:rPr>
      </w:pPr>
      <w:r>
        <w:rPr>
          <w:rFonts w:ascii="Arial Narrow" w:hAnsi="Arial Narrow" w:cs="Arial"/>
        </w:rPr>
        <w:t xml:space="preserve">Los dos cargos por nivel de tensión se derivan de las diferencias que existen en los costos de expansión </w:t>
      </w:r>
      <w:r w:rsidR="00663761">
        <w:rPr>
          <w:rFonts w:ascii="Arial Narrow" w:hAnsi="Arial Narrow" w:cs="Arial"/>
        </w:rPr>
        <w:t>de la RNT entre una tensión menor a 220 kV</w:t>
      </w:r>
      <w:r w:rsidR="00663761" w:rsidRPr="00FE40CA">
        <w:rPr>
          <w:rStyle w:val="Refdenotaalpie"/>
          <w:rFonts w:ascii="Arial Narrow" w:hAnsi="Arial Narrow" w:cs="Arial"/>
        </w:rPr>
        <w:footnoteReference w:id="3"/>
      </w:r>
      <w:r w:rsidR="00663761">
        <w:rPr>
          <w:rFonts w:ascii="Arial Narrow" w:hAnsi="Arial Narrow" w:cs="Arial"/>
        </w:rPr>
        <w:t xml:space="preserve"> y aquell</w:t>
      </w:r>
      <w:r w:rsidR="003B415F">
        <w:rPr>
          <w:rFonts w:ascii="Arial Narrow" w:hAnsi="Arial Narrow" w:cs="Arial"/>
        </w:rPr>
        <w:t xml:space="preserve">a que es mayor o igual a 220 kV, </w:t>
      </w:r>
      <w:r w:rsidR="00663761">
        <w:rPr>
          <w:rFonts w:ascii="Arial Narrow" w:hAnsi="Arial Narrow" w:cs="Arial"/>
        </w:rPr>
        <w:t>estos últimos tienen costos marginales de capacidad de largo plazo menores que aquellos elementos con tensiones inferiores a 220 kV. Es decir</w:t>
      </w:r>
      <w:r w:rsidR="00FE40CA" w:rsidRPr="00FE40CA">
        <w:rPr>
          <w:rFonts w:ascii="Arial Narrow" w:hAnsi="Arial Narrow" w:cs="Arial"/>
        </w:rPr>
        <w:t>, las tarifas del servicio p</w:t>
      </w:r>
      <w:r w:rsidR="00663761">
        <w:rPr>
          <w:rFonts w:ascii="Arial Narrow" w:hAnsi="Arial Narrow" w:cs="Arial"/>
        </w:rPr>
        <w:t xml:space="preserve">úblico de Transmisión </w:t>
      </w:r>
      <w:r w:rsidR="003A6E0D">
        <w:rPr>
          <w:rFonts w:ascii="Arial Narrow" w:hAnsi="Arial Narrow" w:cs="Arial"/>
        </w:rPr>
        <w:t>consideran</w:t>
      </w:r>
      <w:r w:rsidR="00FE40CA" w:rsidRPr="00FE40CA">
        <w:rPr>
          <w:rFonts w:ascii="Arial Narrow" w:hAnsi="Arial Narrow" w:cs="Arial"/>
        </w:rPr>
        <w:t xml:space="preserve"> una señal de localización por nivel de tensión.</w:t>
      </w:r>
    </w:p>
    <w:p w14:paraId="647D582E" w14:textId="77777777" w:rsidR="00FE40CA" w:rsidRPr="00FE40CA" w:rsidRDefault="00FE40CA" w:rsidP="00FE40CA">
      <w:pPr>
        <w:tabs>
          <w:tab w:val="left" w:pos="0"/>
        </w:tabs>
        <w:autoSpaceDE w:val="0"/>
        <w:autoSpaceDN w:val="0"/>
        <w:adjustRightInd w:val="0"/>
        <w:spacing w:after="0" w:line="240" w:lineRule="auto"/>
        <w:ind w:right="-14"/>
        <w:jc w:val="both"/>
        <w:rPr>
          <w:rFonts w:ascii="Arial Narrow" w:hAnsi="Arial Narrow" w:cs="Arial"/>
        </w:rPr>
      </w:pPr>
    </w:p>
    <w:p w14:paraId="37ACCD2E" w14:textId="58AC183C" w:rsidR="00FE40CA" w:rsidRDefault="00FE40CA" w:rsidP="00FE40CA">
      <w:pPr>
        <w:tabs>
          <w:tab w:val="left" w:pos="0"/>
        </w:tabs>
        <w:spacing w:after="0" w:line="240" w:lineRule="auto"/>
        <w:ind w:right="-14"/>
        <w:jc w:val="both"/>
        <w:rPr>
          <w:rFonts w:ascii="Arial Narrow" w:hAnsi="Arial Narrow" w:cs="Arial"/>
        </w:rPr>
      </w:pPr>
      <w:r w:rsidRPr="00FE40CA">
        <w:rPr>
          <w:rFonts w:ascii="Arial Narrow" w:hAnsi="Arial Narrow" w:cs="Arial"/>
        </w:rPr>
        <w:t xml:space="preserve">La tarifa se integra de dos factores principales: el Ingreso Requerido (IR) y la </w:t>
      </w:r>
      <w:r w:rsidR="003B415F">
        <w:rPr>
          <w:rFonts w:ascii="Arial Narrow" w:hAnsi="Arial Narrow" w:cs="Arial"/>
        </w:rPr>
        <w:t xml:space="preserve">energía. El primer componente se refiere a los </w:t>
      </w:r>
      <w:r w:rsidRPr="00FE40CA">
        <w:rPr>
          <w:rFonts w:ascii="Arial Narrow" w:hAnsi="Arial Narrow" w:cs="Arial"/>
        </w:rPr>
        <w:t xml:space="preserve">ingresos necesarios para cubrir los costos adecuados de operación y mantenimiento aplicables al </w:t>
      </w:r>
      <w:r w:rsidR="003B415F">
        <w:rPr>
          <w:rFonts w:ascii="Arial Narrow" w:hAnsi="Arial Narrow" w:cs="Arial"/>
        </w:rPr>
        <w:t>servicio público de Transmisión. Se obtienen con base en</w:t>
      </w:r>
      <w:r w:rsidRPr="00FE40CA">
        <w:rPr>
          <w:rFonts w:ascii="Arial Narrow" w:hAnsi="Arial Narrow" w:cs="Arial"/>
        </w:rPr>
        <w:t xml:space="preserve"> los costos totales</w:t>
      </w:r>
      <w:r w:rsidRPr="00FE40CA">
        <w:rPr>
          <w:rFonts w:ascii="Arial Narrow" w:hAnsi="Arial Narrow"/>
        </w:rPr>
        <w:t xml:space="preserve"> </w:t>
      </w:r>
      <w:r w:rsidRPr="00FE40CA">
        <w:rPr>
          <w:rFonts w:ascii="Arial Narrow" w:hAnsi="Arial Narrow" w:cs="Arial"/>
        </w:rPr>
        <w:t xml:space="preserve">ejercidos por la CFE en 2014 proyectados a </w:t>
      </w:r>
      <w:r w:rsidR="008658C6">
        <w:rPr>
          <w:rFonts w:ascii="Arial Narrow" w:hAnsi="Arial Narrow" w:cs="Arial"/>
        </w:rPr>
        <w:t xml:space="preserve">los años </w:t>
      </w:r>
      <w:r w:rsidRPr="00FE40CA">
        <w:rPr>
          <w:rFonts w:ascii="Arial Narrow" w:hAnsi="Arial Narrow" w:cs="Arial"/>
        </w:rPr>
        <w:t>2016, 2017 y 2018</w:t>
      </w:r>
      <w:r w:rsidRPr="00FE40CA">
        <w:rPr>
          <w:rFonts w:ascii="Arial Narrow" w:hAnsi="Arial Narrow"/>
        </w:rPr>
        <w:t xml:space="preserve"> </w:t>
      </w:r>
      <w:r w:rsidRPr="00FE40CA">
        <w:rPr>
          <w:rFonts w:ascii="Arial Narrow" w:hAnsi="Arial Narrow" w:cs="Arial"/>
        </w:rPr>
        <w:t>y la asig</w:t>
      </w:r>
      <w:r w:rsidR="003B415F">
        <w:rPr>
          <w:rFonts w:ascii="Arial Narrow" w:hAnsi="Arial Narrow" w:cs="Arial"/>
        </w:rPr>
        <w:t>nación de los mismos por actividad</w:t>
      </w:r>
      <w:r w:rsidRPr="00FE40CA">
        <w:rPr>
          <w:rFonts w:ascii="Arial Narrow" w:hAnsi="Arial Narrow" w:cs="Arial"/>
        </w:rPr>
        <w:t>: Generac</w:t>
      </w:r>
      <w:r w:rsidR="003B415F">
        <w:rPr>
          <w:rFonts w:ascii="Arial Narrow" w:hAnsi="Arial Narrow" w:cs="Arial"/>
        </w:rPr>
        <w:t>ión, Transmisión</w:t>
      </w:r>
      <w:r w:rsidRPr="00FE40CA">
        <w:rPr>
          <w:rFonts w:ascii="Arial Narrow" w:hAnsi="Arial Narrow" w:cs="Arial"/>
        </w:rPr>
        <w:t xml:space="preserve">, Distribución y </w:t>
      </w:r>
      <w:r w:rsidR="003B415F">
        <w:rPr>
          <w:rFonts w:ascii="Arial Narrow" w:hAnsi="Arial Narrow" w:cs="Arial"/>
        </w:rPr>
        <w:t>Suministro</w:t>
      </w:r>
      <w:r w:rsidRPr="00FE40CA">
        <w:rPr>
          <w:rFonts w:ascii="Arial Narrow" w:hAnsi="Arial Narrow" w:cs="Arial"/>
        </w:rPr>
        <w:t xml:space="preserve">. </w:t>
      </w:r>
      <w:r w:rsidR="0070266E">
        <w:rPr>
          <w:rFonts w:ascii="Arial Narrow" w:hAnsi="Arial Narrow" w:cs="Arial"/>
        </w:rPr>
        <w:t>Por su lado</w:t>
      </w:r>
      <w:r w:rsidRPr="00FE40CA">
        <w:rPr>
          <w:rFonts w:ascii="Arial Narrow" w:hAnsi="Arial Narrow" w:cs="Arial"/>
        </w:rPr>
        <w:t xml:space="preserve">, </w:t>
      </w:r>
      <w:r w:rsidR="0070266E">
        <w:rPr>
          <w:rFonts w:ascii="Arial Narrow" w:hAnsi="Arial Narrow" w:cs="Arial"/>
        </w:rPr>
        <w:t>el componente de energía se estima a partir de l</w:t>
      </w:r>
      <w:r w:rsidRPr="00FE40CA">
        <w:rPr>
          <w:rFonts w:ascii="Arial Narrow" w:hAnsi="Arial Narrow" w:cs="Arial"/>
        </w:rPr>
        <w:t xml:space="preserve">a energía entregada por los generadores a cada nivel de tensión (para el cargo aplicable a generadores) y las ventas de energía por nivel de tensión estimadas por CFE para </w:t>
      </w:r>
      <w:r w:rsidR="000C5F65" w:rsidRPr="00FE40CA">
        <w:rPr>
          <w:rFonts w:ascii="Arial Narrow" w:hAnsi="Arial Narrow" w:cs="Arial"/>
        </w:rPr>
        <w:t>201</w:t>
      </w:r>
      <w:r w:rsidR="000C5F65">
        <w:rPr>
          <w:rFonts w:ascii="Arial Narrow" w:hAnsi="Arial Narrow" w:cs="Arial"/>
        </w:rPr>
        <w:t>4</w:t>
      </w:r>
      <w:r w:rsidR="000C5F65" w:rsidRPr="00FE40CA">
        <w:rPr>
          <w:rFonts w:ascii="Arial Narrow" w:hAnsi="Arial Narrow" w:cs="Arial"/>
        </w:rPr>
        <w:t xml:space="preserve"> </w:t>
      </w:r>
      <w:r w:rsidRPr="00FE40CA">
        <w:rPr>
          <w:rFonts w:ascii="Arial Narrow" w:hAnsi="Arial Narrow" w:cs="Arial"/>
        </w:rPr>
        <w:t xml:space="preserve">(para el cargo </w:t>
      </w:r>
      <w:r w:rsidRPr="00FE40CA">
        <w:rPr>
          <w:rFonts w:ascii="Arial Narrow" w:hAnsi="Arial Narrow" w:cs="Arial"/>
        </w:rPr>
        <w:lastRenderedPageBreak/>
        <w:t>aplicable</w:t>
      </w:r>
      <w:r w:rsidR="0070266E">
        <w:rPr>
          <w:rFonts w:ascii="Arial Narrow" w:hAnsi="Arial Narrow" w:cs="Arial"/>
        </w:rPr>
        <w:t xml:space="preserve"> a consumidores). Por último</w:t>
      </w:r>
      <w:r w:rsidRPr="00FE40CA">
        <w:rPr>
          <w:rFonts w:ascii="Arial Narrow" w:hAnsi="Arial Narrow" w:cs="Arial"/>
        </w:rPr>
        <w:t>, la metodología del tipo “estampilla postal” determina cargos sin distinción geográfica, es decir, se define una tarifa para generadores y consumidores en función del nivel de tensión de la interconexión o conexión que realicen, independientemente de la distancia que se transmita la energía eléctrica. La sencillez del cálculo de la tarifa para el servicio público de Transmisión contribuye con el propósito de hacer efectivos los principios de regulación tarifaria de transparencia, estabilidad, factibilidad, eficiencia y predictibilidad en los cargos para los usuarios de la RNT.</w:t>
      </w:r>
    </w:p>
    <w:p w14:paraId="7B4829D6" w14:textId="77777777" w:rsidR="00177A2B" w:rsidRDefault="00177A2B" w:rsidP="00FE40CA">
      <w:pPr>
        <w:tabs>
          <w:tab w:val="left" w:pos="0"/>
        </w:tabs>
        <w:spacing w:after="0" w:line="240" w:lineRule="auto"/>
        <w:ind w:right="-14"/>
        <w:jc w:val="both"/>
        <w:rPr>
          <w:rFonts w:ascii="Arial Narrow" w:hAnsi="Arial Narrow" w:cs="Arial"/>
        </w:rPr>
      </w:pPr>
    </w:p>
    <w:p w14:paraId="1A79E590" w14:textId="478432FA" w:rsidR="00177A2B" w:rsidRDefault="00177A2B" w:rsidP="00FE40CA">
      <w:pPr>
        <w:tabs>
          <w:tab w:val="left" w:pos="0"/>
        </w:tabs>
        <w:spacing w:after="0" w:line="240" w:lineRule="auto"/>
        <w:ind w:right="-14"/>
        <w:jc w:val="both"/>
        <w:rPr>
          <w:rFonts w:ascii="Arial Narrow" w:hAnsi="Arial Narrow" w:cs="Arial"/>
        </w:rPr>
      </w:pPr>
      <w:r>
        <w:rPr>
          <w:rFonts w:ascii="Arial Narrow" w:hAnsi="Arial Narrow" w:cs="Arial"/>
        </w:rPr>
        <w:t xml:space="preserve">La estructura del documento es la siguiente: </w:t>
      </w:r>
      <w:r w:rsidR="00892D5C">
        <w:rPr>
          <w:rFonts w:ascii="Arial Narrow" w:hAnsi="Arial Narrow" w:cs="Arial"/>
        </w:rPr>
        <w:t xml:space="preserve">en el segundo punto se describe el procedimiento para identificar los costos en los que incurrió la CFE relacionados con la prestación del servicio público de Transmisión; así como los pasos a seguir para realizar la proyección de los mismos y obtener el IR para </w:t>
      </w:r>
      <w:r w:rsidR="003A480C">
        <w:rPr>
          <w:rFonts w:ascii="Arial Narrow" w:hAnsi="Arial Narrow" w:cs="Arial"/>
        </w:rPr>
        <w:t xml:space="preserve">los años </w:t>
      </w:r>
      <w:r w:rsidR="00892D5C">
        <w:rPr>
          <w:rFonts w:ascii="Arial Narrow" w:hAnsi="Arial Narrow" w:cs="Arial"/>
        </w:rPr>
        <w:t xml:space="preserve">2016, 2017 y 2018. En el punto tres, se exponen las cifras consideradas </w:t>
      </w:r>
      <w:r w:rsidR="0070266E">
        <w:rPr>
          <w:rFonts w:ascii="Arial Narrow" w:hAnsi="Arial Narrow" w:cs="Arial"/>
        </w:rPr>
        <w:t>para obtener la energía</w:t>
      </w:r>
      <w:r w:rsidR="00892D5C">
        <w:rPr>
          <w:rFonts w:ascii="Arial Narrow" w:hAnsi="Arial Narrow" w:cs="Arial"/>
        </w:rPr>
        <w:t xml:space="preserve"> para la determinación de la tarifa de Transmisión aplicable en 2016. Finalmente, en el punto cuatro se </w:t>
      </w:r>
      <w:r w:rsidR="00F82E0F">
        <w:rPr>
          <w:rFonts w:ascii="Arial Narrow" w:hAnsi="Arial Narrow" w:cs="Arial"/>
        </w:rPr>
        <w:t>muestran</w:t>
      </w:r>
      <w:r w:rsidR="003704A2">
        <w:rPr>
          <w:rFonts w:ascii="Arial Narrow" w:hAnsi="Arial Narrow" w:cs="Arial"/>
        </w:rPr>
        <w:t xml:space="preserve"> </w:t>
      </w:r>
      <w:r w:rsidR="009750BF">
        <w:rPr>
          <w:rFonts w:ascii="Arial Narrow" w:hAnsi="Arial Narrow" w:cs="Arial"/>
        </w:rPr>
        <w:t xml:space="preserve">los factores de localización considerados para cada nivel de tensión y </w:t>
      </w:r>
      <w:r w:rsidR="003704A2">
        <w:rPr>
          <w:rFonts w:ascii="Arial Narrow" w:hAnsi="Arial Narrow" w:cs="Arial"/>
        </w:rPr>
        <w:t>la expresión matemática median</w:t>
      </w:r>
      <w:r w:rsidR="009750BF">
        <w:rPr>
          <w:rFonts w:ascii="Arial Narrow" w:hAnsi="Arial Narrow" w:cs="Arial"/>
        </w:rPr>
        <w:t>te la cual se obtiene la tarifa.</w:t>
      </w:r>
    </w:p>
    <w:p w14:paraId="516891AA" w14:textId="77777777" w:rsidR="00FE40CA" w:rsidRPr="00FE40CA" w:rsidRDefault="00FE40CA" w:rsidP="00FE40CA">
      <w:pPr>
        <w:tabs>
          <w:tab w:val="left" w:pos="0"/>
        </w:tabs>
        <w:spacing w:after="0" w:line="240" w:lineRule="auto"/>
        <w:ind w:right="-14"/>
        <w:jc w:val="both"/>
        <w:rPr>
          <w:rFonts w:ascii="Arial Narrow" w:hAnsi="Arial Narrow"/>
        </w:rPr>
      </w:pPr>
    </w:p>
    <w:p w14:paraId="33A9041F" w14:textId="77777777" w:rsidR="00EC52BF" w:rsidRDefault="00C60AA0" w:rsidP="00ED4F1B">
      <w:pPr>
        <w:pStyle w:val="Ttulo1"/>
        <w:spacing w:before="0" w:line="240" w:lineRule="auto"/>
        <w:ind w:left="431" w:hanging="431"/>
        <w:rPr>
          <w:rFonts w:ascii="Arial Narrow" w:hAnsi="Arial Narrow"/>
          <w:color w:val="000000" w:themeColor="text1"/>
          <w:sz w:val="22"/>
          <w:szCs w:val="22"/>
        </w:rPr>
      </w:pPr>
      <w:bookmarkStart w:id="1" w:name="_Ref435035035"/>
      <w:r>
        <w:rPr>
          <w:rFonts w:ascii="Arial Narrow" w:hAnsi="Arial Narrow"/>
          <w:color w:val="000000" w:themeColor="text1"/>
          <w:sz w:val="22"/>
          <w:szCs w:val="22"/>
        </w:rPr>
        <w:t>Cálculo del Ingreso Requerido</w:t>
      </w:r>
      <w:r w:rsidR="000F179E">
        <w:rPr>
          <w:rFonts w:ascii="Arial Narrow" w:hAnsi="Arial Narrow"/>
          <w:color w:val="000000" w:themeColor="text1"/>
          <w:sz w:val="22"/>
          <w:szCs w:val="22"/>
        </w:rPr>
        <w:t>.</w:t>
      </w:r>
      <w:bookmarkEnd w:id="0"/>
      <w:bookmarkEnd w:id="1"/>
    </w:p>
    <w:p w14:paraId="760FD92C" w14:textId="77777777" w:rsidR="00F80A0E" w:rsidRPr="00F80A0E" w:rsidRDefault="00F80A0E" w:rsidP="00F80A0E">
      <w:pPr>
        <w:spacing w:after="0" w:line="240" w:lineRule="auto"/>
      </w:pPr>
    </w:p>
    <w:p w14:paraId="590B6ADD" w14:textId="77777777" w:rsidR="009237BB" w:rsidRDefault="00FE40CA" w:rsidP="00F80A0E">
      <w:pPr>
        <w:pStyle w:val="Prrafodelista"/>
        <w:spacing w:after="0" w:line="240" w:lineRule="auto"/>
        <w:ind w:left="0"/>
        <w:jc w:val="both"/>
        <w:rPr>
          <w:rFonts w:ascii="Arial Narrow" w:hAnsi="Arial Narrow"/>
        </w:rPr>
      </w:pPr>
      <w:r>
        <w:rPr>
          <w:rFonts w:ascii="Arial Narrow" w:hAnsi="Arial Narrow"/>
        </w:rPr>
        <w:t>E</w:t>
      </w:r>
      <w:r w:rsidR="009237BB">
        <w:rPr>
          <w:rFonts w:ascii="Arial Narrow" w:hAnsi="Arial Narrow"/>
        </w:rPr>
        <w:t xml:space="preserve">l procedimiento para estimar </w:t>
      </w:r>
      <w:r w:rsidR="003F2278" w:rsidRPr="003F2278">
        <w:rPr>
          <w:rFonts w:ascii="Arial Narrow" w:hAnsi="Arial Narrow"/>
        </w:rPr>
        <w:t>los ingresos necesarios para cubrir los costos adecuados de operación y mantenimiento aplicables al servicio público de Transmisión</w:t>
      </w:r>
      <w:r w:rsidR="003F2278">
        <w:rPr>
          <w:rFonts w:ascii="Arial Narrow" w:hAnsi="Arial Narrow"/>
        </w:rPr>
        <w:t xml:space="preserve"> (</w:t>
      </w:r>
      <w:r w:rsidR="007E4666">
        <w:rPr>
          <w:rFonts w:ascii="Arial Narrow" w:hAnsi="Arial Narrow"/>
        </w:rPr>
        <w:t xml:space="preserve">el Ingreso Requerido </w:t>
      </w:r>
      <w:r w:rsidR="009237BB">
        <w:rPr>
          <w:rFonts w:ascii="Arial Narrow" w:hAnsi="Arial Narrow"/>
        </w:rPr>
        <w:t>total</w:t>
      </w:r>
      <w:r w:rsidR="003F2278">
        <w:rPr>
          <w:rFonts w:ascii="Arial Narrow" w:hAnsi="Arial Narrow"/>
        </w:rPr>
        <w:t>)</w:t>
      </w:r>
      <w:r w:rsidR="009237BB">
        <w:rPr>
          <w:rFonts w:ascii="Arial Narrow" w:hAnsi="Arial Narrow"/>
        </w:rPr>
        <w:t>, es el siguiente:</w:t>
      </w:r>
    </w:p>
    <w:p w14:paraId="260F801F" w14:textId="77777777" w:rsidR="00E54408" w:rsidRDefault="00E54408" w:rsidP="00F80A0E">
      <w:pPr>
        <w:pStyle w:val="Prrafodelista"/>
        <w:spacing w:after="0" w:line="240" w:lineRule="auto"/>
        <w:ind w:left="0"/>
        <w:jc w:val="both"/>
        <w:rPr>
          <w:rFonts w:ascii="Arial Narrow" w:hAnsi="Arial Narrow"/>
        </w:rPr>
      </w:pPr>
    </w:p>
    <w:p w14:paraId="3BB2E4F4" w14:textId="3C65EDDC" w:rsidR="00772388" w:rsidRDefault="00F80A0E" w:rsidP="00772388">
      <w:pPr>
        <w:pStyle w:val="Prrafodelista"/>
        <w:numPr>
          <w:ilvl w:val="0"/>
          <w:numId w:val="3"/>
        </w:numPr>
        <w:spacing w:after="0" w:line="240" w:lineRule="auto"/>
        <w:jc w:val="both"/>
        <w:rPr>
          <w:rFonts w:ascii="Arial Narrow" w:hAnsi="Arial Narrow"/>
        </w:rPr>
      </w:pPr>
      <w:r w:rsidRPr="00F80A0E">
        <w:rPr>
          <w:rFonts w:ascii="Arial Narrow" w:hAnsi="Arial Narrow"/>
        </w:rPr>
        <w:t>El cálcu</w:t>
      </w:r>
      <w:r w:rsidR="00CF2676">
        <w:rPr>
          <w:rFonts w:ascii="Arial Narrow" w:hAnsi="Arial Narrow"/>
        </w:rPr>
        <w:t xml:space="preserve">lo parte de </w:t>
      </w:r>
      <w:r w:rsidR="0070266E">
        <w:rPr>
          <w:rFonts w:ascii="Arial Narrow" w:hAnsi="Arial Narrow"/>
        </w:rPr>
        <w:t xml:space="preserve">la </w:t>
      </w:r>
      <w:r w:rsidR="00CF2676">
        <w:rPr>
          <w:rFonts w:ascii="Arial Narrow" w:hAnsi="Arial Narrow"/>
        </w:rPr>
        <w:t>información de los Estados Financieros D</w:t>
      </w:r>
      <w:r>
        <w:rPr>
          <w:rFonts w:ascii="Arial Narrow" w:hAnsi="Arial Narrow"/>
        </w:rPr>
        <w:t xml:space="preserve">ictaminados </w:t>
      </w:r>
      <w:r w:rsidR="00CF2676">
        <w:rPr>
          <w:rFonts w:ascii="Arial Narrow" w:hAnsi="Arial Narrow"/>
        </w:rPr>
        <w:t xml:space="preserve">(EFD) </w:t>
      </w:r>
      <w:r>
        <w:rPr>
          <w:rFonts w:ascii="Arial Narrow" w:hAnsi="Arial Narrow"/>
        </w:rPr>
        <w:t xml:space="preserve">de 2014 entregados a la </w:t>
      </w:r>
      <w:r w:rsidR="005047A1">
        <w:rPr>
          <w:rFonts w:ascii="Arial Narrow" w:hAnsi="Arial Narrow"/>
        </w:rPr>
        <w:t xml:space="preserve">Comisión </w:t>
      </w:r>
      <w:r>
        <w:rPr>
          <w:rFonts w:ascii="Arial Narrow" w:hAnsi="Arial Narrow"/>
        </w:rPr>
        <w:t xml:space="preserve">por la </w:t>
      </w:r>
      <w:r w:rsidR="000C5F65">
        <w:rPr>
          <w:rFonts w:ascii="Arial Narrow" w:hAnsi="Arial Narrow"/>
        </w:rPr>
        <w:t>CFE</w:t>
      </w:r>
      <w:r>
        <w:rPr>
          <w:rFonts w:ascii="Arial Narrow" w:hAnsi="Arial Narrow"/>
        </w:rPr>
        <w:t xml:space="preserve">. </w:t>
      </w:r>
    </w:p>
    <w:p w14:paraId="59062740" w14:textId="77777777" w:rsidR="006510A2" w:rsidRPr="00FD30CB" w:rsidRDefault="006510A2" w:rsidP="00FD30CB">
      <w:pPr>
        <w:spacing w:after="0" w:line="240" w:lineRule="auto"/>
        <w:ind w:left="360"/>
        <w:jc w:val="both"/>
        <w:rPr>
          <w:rFonts w:ascii="Arial Narrow" w:hAnsi="Arial Narrow"/>
        </w:rPr>
      </w:pPr>
    </w:p>
    <w:p w14:paraId="5C1CAE72" w14:textId="3C0C92F1" w:rsidR="009237BB" w:rsidRDefault="00F80A0E" w:rsidP="00FD30CB">
      <w:pPr>
        <w:pStyle w:val="Prrafodelista"/>
        <w:numPr>
          <w:ilvl w:val="0"/>
          <w:numId w:val="3"/>
        </w:numPr>
        <w:spacing w:after="0" w:line="240" w:lineRule="auto"/>
        <w:jc w:val="both"/>
        <w:rPr>
          <w:rFonts w:ascii="Arial Narrow" w:hAnsi="Arial Narrow"/>
        </w:rPr>
      </w:pPr>
      <w:r>
        <w:rPr>
          <w:rFonts w:ascii="Arial Narrow" w:hAnsi="Arial Narrow"/>
        </w:rPr>
        <w:t>El total de costos presentados se pu</w:t>
      </w:r>
      <w:r w:rsidR="00CD52B0">
        <w:rPr>
          <w:rFonts w:ascii="Arial Narrow" w:hAnsi="Arial Narrow"/>
        </w:rPr>
        <w:t>eden clasificar en dos grupos: costo de explotación y c</w:t>
      </w:r>
      <w:r>
        <w:rPr>
          <w:rFonts w:ascii="Arial Narrow" w:hAnsi="Arial Narrow"/>
        </w:rPr>
        <w:t xml:space="preserve">osto de activos. El </w:t>
      </w:r>
      <w:r w:rsidR="00CD52B0">
        <w:rPr>
          <w:rFonts w:ascii="Arial Narrow" w:hAnsi="Arial Narrow"/>
        </w:rPr>
        <w:t xml:space="preserve">primero </w:t>
      </w:r>
      <w:r w:rsidRPr="00F80A0E">
        <w:rPr>
          <w:rFonts w:ascii="Arial Narrow" w:hAnsi="Arial Narrow"/>
        </w:rPr>
        <w:t>corresponde a costos de operación, mantenimiento y administración e ingresos por exportacion</w:t>
      </w:r>
      <w:r w:rsidR="00CD52B0">
        <w:rPr>
          <w:rFonts w:ascii="Arial Narrow" w:hAnsi="Arial Narrow"/>
        </w:rPr>
        <w:t>es y otros. El segundo</w:t>
      </w:r>
      <w:r w:rsidR="00697D08">
        <w:rPr>
          <w:rFonts w:ascii="Arial Narrow" w:hAnsi="Arial Narrow"/>
        </w:rPr>
        <w:t xml:space="preserve"> se integra por</w:t>
      </w:r>
      <w:r w:rsidRPr="00F80A0E">
        <w:rPr>
          <w:rFonts w:ascii="Arial Narrow" w:hAnsi="Arial Narrow"/>
        </w:rPr>
        <w:t xml:space="preserve"> </w:t>
      </w:r>
      <w:r>
        <w:rPr>
          <w:rFonts w:ascii="Arial Narrow" w:hAnsi="Arial Narrow"/>
        </w:rPr>
        <w:t>depreciación y costo financiero</w:t>
      </w:r>
      <w:r w:rsidRPr="00F80A0E">
        <w:rPr>
          <w:rFonts w:ascii="Arial Narrow" w:hAnsi="Arial Narrow"/>
        </w:rPr>
        <w:t>.</w:t>
      </w:r>
      <w:r>
        <w:rPr>
          <w:rFonts w:ascii="Arial Narrow" w:hAnsi="Arial Narrow"/>
        </w:rPr>
        <w:t xml:space="preserve"> </w:t>
      </w:r>
    </w:p>
    <w:p w14:paraId="535D3057" w14:textId="77777777" w:rsidR="00036BA1" w:rsidRPr="00036BA1" w:rsidRDefault="00036BA1" w:rsidP="00036BA1">
      <w:pPr>
        <w:pStyle w:val="Prrafodelista"/>
        <w:rPr>
          <w:rFonts w:ascii="Arial Narrow" w:hAnsi="Arial Narrow"/>
        </w:rPr>
      </w:pPr>
    </w:p>
    <w:p w14:paraId="39146D25" w14:textId="75DEAE2C" w:rsidR="00036BA1" w:rsidRDefault="00CD52B0" w:rsidP="00036BA1">
      <w:pPr>
        <w:pStyle w:val="Prrafodelista"/>
        <w:numPr>
          <w:ilvl w:val="0"/>
          <w:numId w:val="3"/>
        </w:numPr>
        <w:spacing w:after="0" w:line="240" w:lineRule="auto"/>
        <w:jc w:val="both"/>
        <w:rPr>
          <w:rFonts w:ascii="Arial Narrow" w:hAnsi="Arial Narrow"/>
        </w:rPr>
      </w:pPr>
      <w:r>
        <w:rPr>
          <w:rFonts w:ascii="Arial Narrow" w:hAnsi="Arial Narrow"/>
        </w:rPr>
        <w:t>Las cuentas que integran el c</w:t>
      </w:r>
      <w:r w:rsidR="00036BA1">
        <w:rPr>
          <w:rFonts w:ascii="Arial Narrow" w:hAnsi="Arial Narrow"/>
        </w:rPr>
        <w:t xml:space="preserve">osto de explotación son: </w:t>
      </w:r>
      <w:r>
        <w:rPr>
          <w:rFonts w:ascii="Arial Narrow" w:hAnsi="Arial Narrow"/>
        </w:rPr>
        <w:t>r</w:t>
      </w:r>
      <w:r w:rsidR="00036BA1" w:rsidRPr="00036BA1">
        <w:rPr>
          <w:rFonts w:ascii="Arial Narrow" w:hAnsi="Arial Narrow"/>
        </w:rPr>
        <w:t>emuneraciones</w:t>
      </w:r>
      <w:r w:rsidR="00036BA1">
        <w:rPr>
          <w:rFonts w:ascii="Arial Narrow" w:hAnsi="Arial Narrow"/>
        </w:rPr>
        <w:t xml:space="preserve">, </w:t>
      </w:r>
      <w:r>
        <w:rPr>
          <w:rFonts w:ascii="Arial Narrow" w:hAnsi="Arial Narrow"/>
        </w:rPr>
        <w:t>o</w:t>
      </w:r>
      <w:r w:rsidR="00036BA1">
        <w:rPr>
          <w:rFonts w:ascii="Arial Narrow" w:hAnsi="Arial Narrow"/>
        </w:rPr>
        <w:t>bligaciones l</w:t>
      </w:r>
      <w:r w:rsidR="00036BA1" w:rsidRPr="00036BA1">
        <w:rPr>
          <w:rFonts w:ascii="Arial Narrow" w:hAnsi="Arial Narrow"/>
        </w:rPr>
        <w:t>aborales</w:t>
      </w:r>
      <w:r w:rsidR="00036BA1">
        <w:rPr>
          <w:rFonts w:ascii="Arial Narrow" w:hAnsi="Arial Narrow"/>
        </w:rPr>
        <w:t xml:space="preserve">, </w:t>
      </w:r>
      <w:r>
        <w:rPr>
          <w:rFonts w:ascii="Arial Narrow" w:hAnsi="Arial Narrow"/>
        </w:rPr>
        <w:t>e</w:t>
      </w:r>
      <w:r w:rsidR="00036BA1" w:rsidRPr="00036BA1">
        <w:rPr>
          <w:rFonts w:ascii="Arial Narrow" w:hAnsi="Arial Narrow"/>
        </w:rPr>
        <w:t>nergéticos</w:t>
      </w:r>
      <w:r w:rsidR="00036BA1">
        <w:rPr>
          <w:rFonts w:ascii="Arial Narrow" w:hAnsi="Arial Narrow"/>
        </w:rPr>
        <w:t xml:space="preserve">, </w:t>
      </w:r>
      <w:r>
        <w:rPr>
          <w:rFonts w:ascii="Arial Narrow" w:hAnsi="Arial Narrow"/>
        </w:rPr>
        <w:t>p</w:t>
      </w:r>
      <w:r w:rsidR="00036BA1" w:rsidRPr="00036BA1">
        <w:rPr>
          <w:rFonts w:ascii="Arial Narrow" w:hAnsi="Arial Narrow"/>
        </w:rPr>
        <w:t>roductores externos (con fijos)</w:t>
      </w:r>
      <w:r w:rsidR="00036BA1">
        <w:rPr>
          <w:rFonts w:ascii="Arial Narrow" w:hAnsi="Arial Narrow"/>
        </w:rPr>
        <w:t xml:space="preserve">, </w:t>
      </w:r>
      <w:r w:rsidR="00104CFD">
        <w:rPr>
          <w:rFonts w:ascii="Arial Narrow" w:hAnsi="Arial Narrow"/>
        </w:rPr>
        <w:t>f</w:t>
      </w:r>
      <w:r w:rsidR="00036BA1" w:rsidRPr="00036BA1">
        <w:rPr>
          <w:rFonts w:ascii="Arial Narrow" w:hAnsi="Arial Narrow"/>
        </w:rPr>
        <w:t>uerza comprada</w:t>
      </w:r>
      <w:r w:rsidR="00036BA1">
        <w:rPr>
          <w:rFonts w:ascii="Arial Narrow" w:hAnsi="Arial Narrow"/>
        </w:rPr>
        <w:t xml:space="preserve">, </w:t>
      </w:r>
      <w:r w:rsidR="00104CFD">
        <w:rPr>
          <w:rFonts w:ascii="Arial Narrow" w:hAnsi="Arial Narrow"/>
        </w:rPr>
        <w:t>m</w:t>
      </w:r>
      <w:r w:rsidR="00036BA1" w:rsidRPr="00036BA1">
        <w:rPr>
          <w:rFonts w:ascii="Arial Narrow" w:hAnsi="Arial Narrow"/>
        </w:rPr>
        <w:t>ant</w:t>
      </w:r>
      <w:r w:rsidR="00546273">
        <w:rPr>
          <w:rFonts w:ascii="Arial Narrow" w:hAnsi="Arial Narrow"/>
        </w:rPr>
        <w:t>enimiento y s</w:t>
      </w:r>
      <w:r w:rsidR="00036BA1" w:rsidRPr="00036BA1">
        <w:rPr>
          <w:rFonts w:ascii="Arial Narrow" w:hAnsi="Arial Narrow"/>
        </w:rPr>
        <w:t>erv</w:t>
      </w:r>
      <w:r w:rsidR="00104CFD">
        <w:rPr>
          <w:rFonts w:ascii="Arial Narrow" w:hAnsi="Arial Narrow"/>
        </w:rPr>
        <w:t>icios generales por contrato, m</w:t>
      </w:r>
      <w:r w:rsidR="00546273">
        <w:rPr>
          <w:rFonts w:ascii="Arial Narrow" w:hAnsi="Arial Narrow"/>
        </w:rPr>
        <w:t>aterial</w:t>
      </w:r>
      <w:r w:rsidR="00104CFD">
        <w:rPr>
          <w:rFonts w:ascii="Arial Narrow" w:hAnsi="Arial Narrow"/>
        </w:rPr>
        <w:t>es de mantenimiento y consumo, impuestos y derechos, otros gastos, e</w:t>
      </w:r>
      <w:r w:rsidR="00546273">
        <w:rPr>
          <w:rFonts w:ascii="Arial Narrow" w:hAnsi="Arial Narrow"/>
        </w:rPr>
        <w:t>nergía eléctrica de empleados</w:t>
      </w:r>
      <w:r w:rsidR="00606008">
        <w:rPr>
          <w:rFonts w:ascii="Arial Narrow" w:hAnsi="Arial Narrow"/>
        </w:rPr>
        <w:t xml:space="preserve"> (EEE)</w:t>
      </w:r>
      <w:r w:rsidR="002D5FFE">
        <w:rPr>
          <w:rFonts w:ascii="Arial Narrow" w:hAnsi="Arial Narrow"/>
        </w:rPr>
        <w:t xml:space="preserve"> y usos propios, Indi</w:t>
      </w:r>
      <w:r w:rsidR="00104CFD">
        <w:rPr>
          <w:rFonts w:ascii="Arial Narrow" w:hAnsi="Arial Narrow"/>
        </w:rPr>
        <w:t>rectos de oficinas nacionales</w:t>
      </w:r>
      <w:r w:rsidR="00187CF8">
        <w:rPr>
          <w:rFonts w:ascii="Arial Narrow" w:hAnsi="Arial Narrow"/>
        </w:rPr>
        <w:t xml:space="preserve"> (I.O</w:t>
      </w:r>
      <w:r w:rsidR="00606008">
        <w:rPr>
          <w:rFonts w:ascii="Arial Narrow" w:hAnsi="Arial Narrow"/>
        </w:rPr>
        <w:t>.N)</w:t>
      </w:r>
      <w:r w:rsidR="00104CFD">
        <w:rPr>
          <w:rFonts w:ascii="Arial Narrow" w:hAnsi="Arial Narrow"/>
        </w:rPr>
        <w:t>, exportación, reconexiones, r</w:t>
      </w:r>
      <w:r w:rsidR="002D5FFE">
        <w:rPr>
          <w:rFonts w:ascii="Arial Narrow" w:hAnsi="Arial Narrow"/>
        </w:rPr>
        <w:t xml:space="preserve">enta de torres, postes y otras instalaciones. </w:t>
      </w:r>
      <w:r w:rsidR="00104CFD">
        <w:rPr>
          <w:rFonts w:ascii="Arial Narrow" w:hAnsi="Arial Narrow"/>
        </w:rPr>
        <w:t>Mientras que</w:t>
      </w:r>
      <w:r w:rsidR="002D5FFE">
        <w:rPr>
          <w:rFonts w:ascii="Arial Narrow" w:hAnsi="Arial Narrow"/>
        </w:rPr>
        <w:t xml:space="preserve"> las cuentas que constituye</w:t>
      </w:r>
      <w:r w:rsidR="000C5F65">
        <w:rPr>
          <w:rFonts w:ascii="Arial Narrow" w:hAnsi="Arial Narrow"/>
        </w:rPr>
        <w:t>n</w:t>
      </w:r>
      <w:r w:rsidR="00104CFD">
        <w:rPr>
          <w:rFonts w:ascii="Arial Narrow" w:hAnsi="Arial Narrow"/>
        </w:rPr>
        <w:t xml:space="preserve"> el costo de activos son: d</w:t>
      </w:r>
      <w:r w:rsidR="002D5FFE">
        <w:rPr>
          <w:rFonts w:ascii="Arial Narrow" w:hAnsi="Arial Narrow"/>
        </w:rPr>
        <w:t xml:space="preserve">epreciación, </w:t>
      </w:r>
      <w:r w:rsidR="00104CFD">
        <w:rPr>
          <w:rFonts w:ascii="Arial Narrow" w:hAnsi="Arial Narrow"/>
        </w:rPr>
        <w:t>a</w:t>
      </w:r>
      <w:r w:rsidR="008E3191">
        <w:rPr>
          <w:rFonts w:ascii="Arial Narrow" w:hAnsi="Arial Narrow"/>
        </w:rPr>
        <w:t>provechamiento</w:t>
      </w:r>
      <w:r w:rsidR="00104CFD">
        <w:rPr>
          <w:rFonts w:ascii="Arial Narrow" w:hAnsi="Arial Narrow"/>
        </w:rPr>
        <w:t xml:space="preserve">, intereses deuda titulada, intereses </w:t>
      </w:r>
      <w:r w:rsidR="005047A1">
        <w:rPr>
          <w:rFonts w:ascii="Arial Narrow" w:hAnsi="Arial Narrow"/>
        </w:rPr>
        <w:t xml:space="preserve">de </w:t>
      </w:r>
      <w:r w:rsidR="005047A1" w:rsidRPr="005047A1">
        <w:rPr>
          <w:rFonts w:ascii="Arial Narrow" w:hAnsi="Arial Narrow"/>
        </w:rPr>
        <w:t>Proyectos de Infraestructura Productiva de Largo Plazo</w:t>
      </w:r>
      <w:r w:rsidR="005047A1">
        <w:t xml:space="preserve"> (</w:t>
      </w:r>
      <w:r w:rsidR="00104CFD">
        <w:rPr>
          <w:rFonts w:ascii="Arial Narrow" w:hAnsi="Arial Narrow"/>
        </w:rPr>
        <w:t>PIDIREGAS</w:t>
      </w:r>
      <w:r w:rsidR="005047A1">
        <w:rPr>
          <w:rFonts w:ascii="Arial Narrow" w:hAnsi="Arial Narrow"/>
        </w:rPr>
        <w:t>)</w:t>
      </w:r>
      <w:r w:rsidR="00104CFD">
        <w:rPr>
          <w:rFonts w:ascii="Arial Narrow" w:hAnsi="Arial Narrow"/>
        </w:rPr>
        <w:t>, i</w:t>
      </w:r>
      <w:r w:rsidR="002D5FFE">
        <w:rPr>
          <w:rFonts w:ascii="Arial Narrow" w:hAnsi="Arial Narrow"/>
        </w:rPr>
        <w:t>ntereses productores externos de energía (PEE)</w:t>
      </w:r>
      <w:r w:rsidR="00697D08">
        <w:rPr>
          <w:rFonts w:ascii="Arial Narrow" w:hAnsi="Arial Narrow"/>
        </w:rPr>
        <w:t xml:space="preserve"> y</w:t>
      </w:r>
      <w:r w:rsidR="00104CFD">
        <w:rPr>
          <w:rFonts w:ascii="Arial Narrow" w:hAnsi="Arial Narrow"/>
        </w:rPr>
        <w:t xml:space="preserve"> p</w:t>
      </w:r>
      <w:r w:rsidR="008E3191">
        <w:rPr>
          <w:rFonts w:ascii="Arial Narrow" w:hAnsi="Arial Narrow"/>
        </w:rPr>
        <w:t>ago capacidad PEE.</w:t>
      </w:r>
    </w:p>
    <w:p w14:paraId="5FAC01BA" w14:textId="77777777" w:rsidR="006510A2" w:rsidRPr="008E3191" w:rsidRDefault="006510A2" w:rsidP="008E3191">
      <w:pPr>
        <w:spacing w:after="0" w:line="240" w:lineRule="auto"/>
        <w:ind w:left="360"/>
        <w:jc w:val="both"/>
        <w:rPr>
          <w:rFonts w:ascii="Arial Narrow" w:hAnsi="Arial Narrow"/>
        </w:rPr>
      </w:pPr>
    </w:p>
    <w:p w14:paraId="64CB1BE1" w14:textId="7D65F61A" w:rsidR="009237BB" w:rsidRDefault="00F80A0E" w:rsidP="009237BB">
      <w:pPr>
        <w:pStyle w:val="Prrafodelista"/>
        <w:numPr>
          <w:ilvl w:val="0"/>
          <w:numId w:val="3"/>
        </w:numPr>
        <w:spacing w:after="0" w:line="240" w:lineRule="auto"/>
        <w:jc w:val="both"/>
        <w:rPr>
          <w:rFonts w:ascii="Arial Narrow" w:hAnsi="Arial Narrow"/>
        </w:rPr>
      </w:pPr>
      <w:r>
        <w:rPr>
          <w:rFonts w:ascii="Arial Narrow" w:hAnsi="Arial Narrow"/>
        </w:rPr>
        <w:t>Una vez ide</w:t>
      </w:r>
      <w:r w:rsidR="00CF2676">
        <w:rPr>
          <w:rFonts w:ascii="Arial Narrow" w:hAnsi="Arial Narrow"/>
        </w:rPr>
        <w:t>ntificados estos grupos se proyecta cada cuenta, con las consideraciones que se describirán más adelante, para obtener los costo</w:t>
      </w:r>
      <w:r w:rsidR="007E4666">
        <w:rPr>
          <w:rFonts w:ascii="Arial Narrow" w:hAnsi="Arial Narrow"/>
        </w:rPr>
        <w:t xml:space="preserve">s totales </w:t>
      </w:r>
      <w:r w:rsidR="00104CFD">
        <w:rPr>
          <w:rFonts w:ascii="Arial Narrow" w:hAnsi="Arial Narrow"/>
        </w:rPr>
        <w:t>de</w:t>
      </w:r>
      <w:r w:rsidR="00CF2676">
        <w:rPr>
          <w:rFonts w:ascii="Arial Narrow" w:hAnsi="Arial Narrow"/>
        </w:rPr>
        <w:t xml:space="preserve"> CFE </w:t>
      </w:r>
      <w:r w:rsidR="00104CFD">
        <w:rPr>
          <w:rFonts w:ascii="Arial Narrow" w:hAnsi="Arial Narrow"/>
        </w:rPr>
        <w:t xml:space="preserve">estimados para el </w:t>
      </w:r>
      <w:r w:rsidR="008E3191">
        <w:rPr>
          <w:rFonts w:ascii="Arial Narrow" w:hAnsi="Arial Narrow"/>
        </w:rPr>
        <w:t>periodo 2015-</w:t>
      </w:r>
      <w:r w:rsidR="00CF2676">
        <w:rPr>
          <w:rFonts w:ascii="Arial Narrow" w:hAnsi="Arial Narrow"/>
        </w:rPr>
        <w:t>201</w:t>
      </w:r>
      <w:r w:rsidR="008E3191">
        <w:rPr>
          <w:rFonts w:ascii="Arial Narrow" w:hAnsi="Arial Narrow"/>
        </w:rPr>
        <w:t>8</w:t>
      </w:r>
      <w:r w:rsidR="00CF2676">
        <w:rPr>
          <w:rFonts w:ascii="Arial Narrow" w:hAnsi="Arial Narrow"/>
        </w:rPr>
        <w:t xml:space="preserve">. </w:t>
      </w:r>
    </w:p>
    <w:p w14:paraId="5EF96260" w14:textId="77777777" w:rsidR="006510A2" w:rsidRPr="008E3191" w:rsidRDefault="006510A2" w:rsidP="008E3191">
      <w:pPr>
        <w:spacing w:after="0" w:line="240" w:lineRule="auto"/>
        <w:ind w:left="360"/>
        <w:jc w:val="both"/>
        <w:rPr>
          <w:rFonts w:ascii="Arial Narrow" w:hAnsi="Arial Narrow"/>
        </w:rPr>
      </w:pPr>
    </w:p>
    <w:p w14:paraId="203FDC56" w14:textId="5A51E67F" w:rsidR="009237BB" w:rsidRDefault="00CF2676" w:rsidP="009237BB">
      <w:pPr>
        <w:pStyle w:val="Prrafodelista"/>
        <w:numPr>
          <w:ilvl w:val="0"/>
          <w:numId w:val="3"/>
        </w:numPr>
        <w:spacing w:after="0" w:line="240" w:lineRule="auto"/>
        <w:jc w:val="both"/>
        <w:rPr>
          <w:rFonts w:ascii="Arial Narrow" w:hAnsi="Arial Narrow"/>
        </w:rPr>
      </w:pPr>
      <w:r>
        <w:rPr>
          <w:rFonts w:ascii="Arial Narrow" w:hAnsi="Arial Narrow"/>
        </w:rPr>
        <w:t>Posteriormente, con la clasificación de costos por actividad que presentó CFE</w:t>
      </w:r>
      <w:r w:rsidR="00364B78">
        <w:rPr>
          <w:rFonts w:ascii="Arial Narrow" w:hAnsi="Arial Narrow"/>
        </w:rPr>
        <w:t xml:space="preserve"> (funcionalización de los costos)</w:t>
      </w:r>
      <w:r w:rsidR="00F80A0E">
        <w:rPr>
          <w:rFonts w:ascii="Arial Narrow" w:hAnsi="Arial Narrow"/>
        </w:rPr>
        <w:t xml:space="preserve">, se </w:t>
      </w:r>
      <w:r>
        <w:rPr>
          <w:rFonts w:ascii="Arial Narrow" w:hAnsi="Arial Narrow"/>
        </w:rPr>
        <w:t>determinan los costos aso</w:t>
      </w:r>
      <w:r w:rsidR="002140A0">
        <w:rPr>
          <w:rFonts w:ascii="Arial Narrow" w:hAnsi="Arial Narrow"/>
        </w:rPr>
        <w:t xml:space="preserve">ciados únicamente a </w:t>
      </w:r>
      <w:r w:rsidR="00104CFD">
        <w:rPr>
          <w:rFonts w:ascii="Arial Narrow" w:hAnsi="Arial Narrow"/>
        </w:rPr>
        <w:t>la</w:t>
      </w:r>
      <w:r>
        <w:rPr>
          <w:rFonts w:ascii="Arial Narrow" w:hAnsi="Arial Narrow"/>
        </w:rPr>
        <w:t xml:space="preserve"> Transmisión de energía eléctrica</w:t>
      </w:r>
      <w:r w:rsidR="009237BB">
        <w:rPr>
          <w:rStyle w:val="Refdenotaalpie"/>
          <w:rFonts w:ascii="Arial Narrow" w:hAnsi="Arial Narrow"/>
        </w:rPr>
        <w:footnoteReference w:id="4"/>
      </w:r>
      <w:r w:rsidR="00364B78">
        <w:rPr>
          <w:rFonts w:ascii="Arial Narrow" w:hAnsi="Arial Narrow"/>
        </w:rPr>
        <w:t xml:space="preserve">. </w:t>
      </w:r>
    </w:p>
    <w:p w14:paraId="4CF49274" w14:textId="77777777" w:rsidR="006510A2" w:rsidRPr="008E3191" w:rsidRDefault="006510A2" w:rsidP="00060447">
      <w:pPr>
        <w:spacing w:after="0" w:line="240" w:lineRule="auto"/>
        <w:ind w:left="360" w:hanging="540"/>
        <w:jc w:val="both"/>
        <w:rPr>
          <w:rFonts w:ascii="Arial Narrow" w:hAnsi="Arial Narrow"/>
        </w:rPr>
      </w:pPr>
    </w:p>
    <w:p w14:paraId="5DA3435B" w14:textId="64929279" w:rsidR="00C161BC" w:rsidRDefault="000C5F65" w:rsidP="00060447">
      <w:pPr>
        <w:pStyle w:val="Prrafodelista"/>
        <w:numPr>
          <w:ilvl w:val="0"/>
          <w:numId w:val="3"/>
        </w:numPr>
        <w:spacing w:after="0" w:line="240" w:lineRule="auto"/>
        <w:jc w:val="both"/>
        <w:rPr>
          <w:rFonts w:ascii="Arial Narrow" w:hAnsi="Arial Narrow"/>
        </w:rPr>
      </w:pPr>
      <w:r>
        <w:rPr>
          <w:rFonts w:ascii="Arial Narrow" w:hAnsi="Arial Narrow"/>
        </w:rPr>
        <w:t>L</w:t>
      </w:r>
      <w:r w:rsidR="00364B78">
        <w:rPr>
          <w:rFonts w:ascii="Arial Narrow" w:hAnsi="Arial Narrow"/>
        </w:rPr>
        <w:t xml:space="preserve">a funcionalización de costos propuesta por CFE, </w:t>
      </w:r>
      <w:r w:rsidR="00104CFD">
        <w:rPr>
          <w:rFonts w:ascii="Arial Narrow" w:hAnsi="Arial Narrow"/>
        </w:rPr>
        <w:t>incluyó</w:t>
      </w:r>
      <w:r>
        <w:rPr>
          <w:rFonts w:ascii="Arial Narrow" w:hAnsi="Arial Narrow"/>
        </w:rPr>
        <w:t xml:space="preserve"> </w:t>
      </w:r>
      <w:r w:rsidR="00364B78">
        <w:rPr>
          <w:rFonts w:ascii="Arial Narrow" w:hAnsi="Arial Narrow"/>
        </w:rPr>
        <w:t>erogaciones relacionadas co</w:t>
      </w:r>
      <w:r w:rsidR="00772388">
        <w:rPr>
          <w:rFonts w:ascii="Arial Narrow" w:hAnsi="Arial Narrow"/>
        </w:rPr>
        <w:t xml:space="preserve">n fibra óptica y </w:t>
      </w:r>
      <w:r>
        <w:rPr>
          <w:rFonts w:ascii="Arial Narrow" w:hAnsi="Arial Narrow"/>
        </w:rPr>
        <w:t xml:space="preserve">con </w:t>
      </w:r>
      <w:r w:rsidR="00772388">
        <w:rPr>
          <w:rFonts w:ascii="Arial Narrow" w:hAnsi="Arial Narrow"/>
        </w:rPr>
        <w:t xml:space="preserve">la operación y control </w:t>
      </w:r>
      <w:r w:rsidR="00364B78">
        <w:rPr>
          <w:rFonts w:ascii="Arial Narrow" w:hAnsi="Arial Narrow"/>
        </w:rPr>
        <w:t xml:space="preserve">del </w:t>
      </w:r>
      <w:r w:rsidR="00090623">
        <w:rPr>
          <w:rFonts w:ascii="Arial Narrow" w:hAnsi="Arial Narrow"/>
        </w:rPr>
        <w:t>S</w:t>
      </w:r>
      <w:r w:rsidR="00364B78">
        <w:rPr>
          <w:rFonts w:ascii="Arial Narrow" w:hAnsi="Arial Narrow"/>
        </w:rPr>
        <w:t xml:space="preserve">istema </w:t>
      </w:r>
      <w:r w:rsidR="00090623">
        <w:rPr>
          <w:rFonts w:ascii="Arial Narrow" w:hAnsi="Arial Narrow"/>
        </w:rPr>
        <w:t xml:space="preserve">Eléctrico Nacional </w:t>
      </w:r>
      <w:r w:rsidR="00364B78">
        <w:rPr>
          <w:rFonts w:ascii="Arial Narrow" w:hAnsi="Arial Narrow"/>
        </w:rPr>
        <w:t>en los costos de Transmisión</w:t>
      </w:r>
      <w:r>
        <w:rPr>
          <w:rFonts w:ascii="Arial Narrow" w:hAnsi="Arial Narrow"/>
        </w:rPr>
        <w:t xml:space="preserve">; sin embargo, </w:t>
      </w:r>
      <w:r w:rsidR="00104CFD">
        <w:rPr>
          <w:rFonts w:ascii="Arial Narrow" w:hAnsi="Arial Narrow"/>
        </w:rPr>
        <w:t>estos se descuentan del IR</w:t>
      </w:r>
      <w:r w:rsidR="00E534C4">
        <w:rPr>
          <w:rFonts w:ascii="Arial Narrow" w:hAnsi="Arial Narrow"/>
        </w:rPr>
        <w:t xml:space="preserve"> ya que no son propios de la prestación del servicio</w:t>
      </w:r>
      <w:r w:rsidR="00104CFD">
        <w:rPr>
          <w:rFonts w:ascii="Arial Narrow" w:hAnsi="Arial Narrow"/>
        </w:rPr>
        <w:t xml:space="preserve"> de Transmisión</w:t>
      </w:r>
      <w:r w:rsidR="00E534C4">
        <w:rPr>
          <w:rFonts w:ascii="Arial Narrow" w:hAnsi="Arial Narrow"/>
        </w:rPr>
        <w:t>. En la siguiente figu</w:t>
      </w:r>
      <w:r w:rsidR="00772388">
        <w:rPr>
          <w:rFonts w:ascii="Arial Narrow" w:hAnsi="Arial Narrow"/>
        </w:rPr>
        <w:t>ra, se muestra de manera esquemática</w:t>
      </w:r>
      <w:r w:rsidR="00E534C4">
        <w:rPr>
          <w:rFonts w:ascii="Arial Narrow" w:hAnsi="Arial Narrow"/>
        </w:rPr>
        <w:t>, e</w:t>
      </w:r>
      <w:r w:rsidR="00AA2059">
        <w:rPr>
          <w:rFonts w:ascii="Arial Narrow" w:hAnsi="Arial Narrow"/>
        </w:rPr>
        <w:t>l procedimiento de cálculo del Ingreso R</w:t>
      </w:r>
      <w:r w:rsidR="00E534C4">
        <w:rPr>
          <w:rFonts w:ascii="Arial Narrow" w:hAnsi="Arial Narrow"/>
        </w:rPr>
        <w:t>equerido</w:t>
      </w:r>
      <w:r w:rsidR="00AA2059">
        <w:rPr>
          <w:rFonts w:ascii="Arial Narrow" w:hAnsi="Arial Narrow"/>
        </w:rPr>
        <w:t xml:space="preserve"> total</w:t>
      </w:r>
      <w:r w:rsidR="00E534C4">
        <w:rPr>
          <w:rFonts w:ascii="Arial Narrow" w:hAnsi="Arial Narrow"/>
        </w:rPr>
        <w:t>.</w:t>
      </w:r>
    </w:p>
    <w:p w14:paraId="5B5BE461" w14:textId="77777777" w:rsidR="00060447" w:rsidRDefault="00060447" w:rsidP="00060447">
      <w:pPr>
        <w:spacing w:after="0" w:line="240" w:lineRule="auto"/>
        <w:jc w:val="both"/>
        <w:rPr>
          <w:rFonts w:ascii="Arial Narrow" w:hAnsi="Arial Narrow"/>
        </w:rPr>
      </w:pPr>
    </w:p>
    <w:p w14:paraId="2E08212E" w14:textId="77777777" w:rsidR="00104CFD" w:rsidRDefault="00104CFD" w:rsidP="00060447">
      <w:pPr>
        <w:spacing w:after="0" w:line="240" w:lineRule="auto"/>
        <w:jc w:val="both"/>
        <w:rPr>
          <w:rFonts w:ascii="Arial Narrow" w:hAnsi="Arial Narrow"/>
        </w:rPr>
      </w:pPr>
    </w:p>
    <w:p w14:paraId="08EDC06D" w14:textId="77777777" w:rsidR="00104CFD" w:rsidRDefault="00104CFD" w:rsidP="00060447">
      <w:pPr>
        <w:spacing w:after="0" w:line="240" w:lineRule="auto"/>
        <w:jc w:val="both"/>
        <w:rPr>
          <w:rFonts w:ascii="Arial Narrow" w:hAnsi="Arial Narrow"/>
        </w:rPr>
      </w:pPr>
    </w:p>
    <w:p w14:paraId="186808F6" w14:textId="77777777" w:rsidR="00104CFD" w:rsidRDefault="00104CFD" w:rsidP="009E115A">
      <w:pPr>
        <w:pStyle w:val="Descripcin"/>
        <w:ind w:hanging="540"/>
        <w:jc w:val="center"/>
        <w:rPr>
          <w:sz w:val="20"/>
        </w:rPr>
      </w:pPr>
      <w:r w:rsidRPr="00E36215">
        <w:rPr>
          <w:sz w:val="20"/>
        </w:rPr>
        <w:lastRenderedPageBreak/>
        <w:t xml:space="preserve">Figura </w:t>
      </w:r>
      <w:r w:rsidRPr="00E36215">
        <w:rPr>
          <w:sz w:val="20"/>
        </w:rPr>
        <w:fldChar w:fldCharType="begin"/>
      </w:r>
      <w:r w:rsidRPr="00E36215">
        <w:rPr>
          <w:sz w:val="20"/>
        </w:rPr>
        <w:instrText xml:space="preserve"> SEQ Figura \* ARABIC </w:instrText>
      </w:r>
      <w:r w:rsidRPr="00E36215">
        <w:rPr>
          <w:sz w:val="20"/>
        </w:rPr>
        <w:fldChar w:fldCharType="separate"/>
      </w:r>
      <w:r w:rsidR="00EE7C88">
        <w:rPr>
          <w:noProof/>
          <w:sz w:val="20"/>
        </w:rPr>
        <w:t>1</w:t>
      </w:r>
      <w:r w:rsidRPr="00E36215">
        <w:rPr>
          <w:sz w:val="20"/>
        </w:rPr>
        <w:fldChar w:fldCharType="end"/>
      </w:r>
      <w:r w:rsidRPr="00E36215">
        <w:rPr>
          <w:sz w:val="20"/>
        </w:rPr>
        <w:t>. Procedimiento de cálculo del Ingreso Requerido</w:t>
      </w:r>
    </w:p>
    <w:p w14:paraId="5CCBFAF9" w14:textId="03B3EA89" w:rsidR="00104CFD" w:rsidRDefault="009E115A" w:rsidP="009E115A">
      <w:pPr>
        <w:spacing w:after="0" w:line="240" w:lineRule="auto"/>
        <w:jc w:val="center"/>
        <w:rPr>
          <w:rFonts w:ascii="Arial Narrow" w:hAnsi="Arial Narrow"/>
        </w:rPr>
      </w:pPr>
      <w:r>
        <w:rPr>
          <w:rFonts w:ascii="Arial Narrow" w:hAnsi="Arial Narrow"/>
          <w:noProof/>
          <w:lang w:eastAsia="es-MX"/>
        </w:rPr>
        <w:drawing>
          <wp:inline distT="0" distB="0" distL="0" distR="0" wp14:anchorId="2C5FACAE" wp14:editId="09298E7E">
            <wp:extent cx="5803323" cy="28800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323" cy="2880000"/>
                    </a:xfrm>
                    <a:prstGeom prst="rect">
                      <a:avLst/>
                    </a:prstGeom>
                    <a:noFill/>
                  </pic:spPr>
                </pic:pic>
              </a:graphicData>
            </a:graphic>
          </wp:inline>
        </w:drawing>
      </w:r>
    </w:p>
    <w:p w14:paraId="377BBA68" w14:textId="28C22D25" w:rsidR="00F55971" w:rsidRDefault="00F55971" w:rsidP="004F16FA">
      <w:pPr>
        <w:pStyle w:val="Prrafodelista"/>
        <w:spacing w:after="0" w:line="240" w:lineRule="auto"/>
        <w:ind w:left="180" w:hanging="540"/>
        <w:jc w:val="right"/>
        <w:rPr>
          <w:rFonts w:ascii="Arial Narrow" w:hAnsi="Arial Narrow"/>
        </w:rPr>
      </w:pPr>
    </w:p>
    <w:p w14:paraId="5A89CC85" w14:textId="5A08E0B2" w:rsidR="00190F31" w:rsidRDefault="0054015F" w:rsidP="0054015F">
      <w:pPr>
        <w:spacing w:after="0" w:line="240" w:lineRule="auto"/>
        <w:jc w:val="both"/>
        <w:rPr>
          <w:rFonts w:ascii="Arial Narrow" w:hAnsi="Arial Narrow"/>
        </w:rPr>
      </w:pPr>
      <w:r w:rsidRPr="0054015F">
        <w:rPr>
          <w:rFonts w:ascii="Arial Narrow" w:hAnsi="Arial Narrow"/>
        </w:rPr>
        <w:t>A continuació</w:t>
      </w:r>
      <w:r w:rsidR="009E115A">
        <w:rPr>
          <w:rFonts w:ascii="Arial Narrow" w:hAnsi="Arial Narrow"/>
        </w:rPr>
        <w:t>n, se presentan las cifras del c</w:t>
      </w:r>
      <w:r w:rsidRPr="0054015F">
        <w:rPr>
          <w:rFonts w:ascii="Arial Narrow" w:hAnsi="Arial Narrow"/>
        </w:rPr>
        <w:t>osto de explotación y activos considerados para 2014</w:t>
      </w:r>
      <w:r w:rsidR="009E115A">
        <w:rPr>
          <w:rFonts w:ascii="Arial Narrow" w:hAnsi="Arial Narrow"/>
        </w:rPr>
        <w:t xml:space="preserve"> y</w:t>
      </w:r>
      <w:r w:rsidRPr="0054015F">
        <w:rPr>
          <w:rFonts w:ascii="Arial Narrow" w:hAnsi="Arial Narrow"/>
        </w:rPr>
        <w:t xml:space="preserve"> se explican los criterios de proyección para obtener los Ingresos Requeridos del periodo 2015-2018.</w:t>
      </w:r>
    </w:p>
    <w:p w14:paraId="7377F23D" w14:textId="77777777" w:rsidR="0054015F" w:rsidRPr="00190F31" w:rsidRDefault="0054015F" w:rsidP="0054015F">
      <w:pPr>
        <w:spacing w:after="0" w:line="240" w:lineRule="auto"/>
        <w:jc w:val="both"/>
      </w:pPr>
    </w:p>
    <w:p w14:paraId="5B950BE3" w14:textId="77777777" w:rsidR="00422325" w:rsidRDefault="00E36215" w:rsidP="00422325">
      <w:pPr>
        <w:pStyle w:val="Ttulo2"/>
        <w:ind w:left="448" w:right="45" w:hanging="357"/>
        <w:rPr>
          <w:rFonts w:ascii="Arial Narrow" w:hAnsi="Arial Narrow"/>
          <w:sz w:val="22"/>
        </w:rPr>
      </w:pPr>
      <w:bookmarkStart w:id="2" w:name="_Ref433735528"/>
      <w:r>
        <w:rPr>
          <w:rFonts w:ascii="Arial Narrow" w:hAnsi="Arial Narrow"/>
          <w:sz w:val="22"/>
        </w:rPr>
        <w:t>Costo de explotación</w:t>
      </w:r>
      <w:bookmarkEnd w:id="2"/>
    </w:p>
    <w:p w14:paraId="7FF5FBDF" w14:textId="77777777" w:rsidR="008779F6" w:rsidRDefault="008779F6" w:rsidP="00ED4F1B">
      <w:pPr>
        <w:spacing w:after="0" w:line="240" w:lineRule="auto"/>
        <w:rPr>
          <w:rFonts w:ascii="Arial Narrow" w:hAnsi="Arial Narrow"/>
        </w:rPr>
      </w:pPr>
    </w:p>
    <w:p w14:paraId="1ACC963F" w14:textId="77777777" w:rsidR="00073201" w:rsidRDefault="00E36215" w:rsidP="00073201">
      <w:pPr>
        <w:spacing w:after="0" w:line="240" w:lineRule="auto"/>
        <w:ind w:left="90"/>
        <w:rPr>
          <w:rFonts w:ascii="Arial Narrow" w:hAnsi="Arial Narrow"/>
        </w:rPr>
      </w:pPr>
      <w:r>
        <w:rPr>
          <w:rFonts w:ascii="Arial Narrow" w:hAnsi="Arial Narrow"/>
        </w:rPr>
        <w:t xml:space="preserve">En la siguiente tabla se muestran las cuentas </w:t>
      </w:r>
      <w:r w:rsidR="00073201">
        <w:rPr>
          <w:rFonts w:ascii="Arial Narrow" w:hAnsi="Arial Narrow"/>
        </w:rPr>
        <w:t>consideradas como Costo de explotación y el monto dispuesto en los EFD de 2014.</w:t>
      </w:r>
    </w:p>
    <w:p w14:paraId="03CE31E3" w14:textId="77777777" w:rsidR="009E115A" w:rsidRDefault="009E115A" w:rsidP="00073201">
      <w:pPr>
        <w:spacing w:after="0" w:line="240" w:lineRule="auto"/>
        <w:ind w:left="90"/>
        <w:rPr>
          <w:rFonts w:ascii="Arial Narrow" w:hAnsi="Arial Narrow"/>
        </w:rPr>
      </w:pPr>
    </w:p>
    <w:p w14:paraId="5934AEAE" w14:textId="77777777" w:rsidR="009E115A" w:rsidRPr="00073201" w:rsidRDefault="009E115A" w:rsidP="009E115A">
      <w:pPr>
        <w:pStyle w:val="Descripcin"/>
        <w:jc w:val="center"/>
        <w:rPr>
          <w:sz w:val="20"/>
        </w:rPr>
      </w:pPr>
      <w:bookmarkStart w:id="3" w:name="_Ref435094707"/>
      <w:r w:rsidRPr="00073201">
        <w:rPr>
          <w:sz w:val="20"/>
        </w:rPr>
        <w:t xml:space="preserve">Tabla </w:t>
      </w:r>
      <w:r w:rsidRPr="00073201">
        <w:rPr>
          <w:sz w:val="20"/>
        </w:rPr>
        <w:fldChar w:fldCharType="begin"/>
      </w:r>
      <w:r w:rsidRPr="00073201">
        <w:rPr>
          <w:sz w:val="20"/>
        </w:rPr>
        <w:instrText xml:space="preserve"> SEQ Tabla \* ARABIC </w:instrText>
      </w:r>
      <w:r w:rsidRPr="00073201">
        <w:rPr>
          <w:sz w:val="20"/>
        </w:rPr>
        <w:fldChar w:fldCharType="separate"/>
      </w:r>
      <w:r w:rsidR="00EE7C88">
        <w:rPr>
          <w:noProof/>
          <w:sz w:val="20"/>
        </w:rPr>
        <w:t>1</w:t>
      </w:r>
      <w:r w:rsidRPr="00073201">
        <w:rPr>
          <w:sz w:val="20"/>
        </w:rPr>
        <w:fldChar w:fldCharType="end"/>
      </w:r>
      <w:bookmarkEnd w:id="3"/>
      <w:r w:rsidRPr="00073201">
        <w:rPr>
          <w:sz w:val="20"/>
        </w:rPr>
        <w:t>. Costos de explotación 2014</w:t>
      </w:r>
    </w:p>
    <w:tbl>
      <w:tblPr>
        <w:tblW w:w="4815" w:type="dxa"/>
        <w:jc w:val="center"/>
        <w:tblCellMar>
          <w:left w:w="0" w:type="dxa"/>
          <w:right w:w="0" w:type="dxa"/>
        </w:tblCellMar>
        <w:tblLook w:val="0600" w:firstRow="0" w:lastRow="0" w:firstColumn="0" w:lastColumn="0" w:noHBand="1" w:noVBand="1"/>
      </w:tblPr>
      <w:tblGrid>
        <w:gridCol w:w="3785"/>
        <w:gridCol w:w="1030"/>
      </w:tblGrid>
      <w:tr w:rsidR="00073201" w:rsidRPr="0028534A" w14:paraId="467EF29F" w14:textId="77777777" w:rsidTr="00BE5EFC">
        <w:trPr>
          <w:trHeight w:val="227"/>
          <w:jc w:val="center"/>
        </w:trPr>
        <w:tc>
          <w:tcPr>
            <w:tcW w:w="3785"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3BCF1098" w14:textId="77777777" w:rsidR="00073201" w:rsidRPr="0028534A" w:rsidRDefault="00073201" w:rsidP="00BE5EFC">
            <w:pPr>
              <w:spacing w:after="0" w:line="240" w:lineRule="auto"/>
              <w:ind w:firstLine="90"/>
              <w:jc w:val="center"/>
              <w:rPr>
                <w:rFonts w:ascii="Arial Narrow" w:hAnsi="Arial Narrow"/>
                <w:color w:val="FFFFFF" w:themeColor="background1"/>
                <w:sz w:val="20"/>
                <w:szCs w:val="16"/>
              </w:rPr>
            </w:pPr>
            <w:r w:rsidRPr="0028534A">
              <w:rPr>
                <w:rFonts w:ascii="Arial Narrow" w:hAnsi="Arial Narrow"/>
                <w:b/>
                <w:bCs/>
                <w:color w:val="FFFFFF" w:themeColor="background1"/>
                <w:sz w:val="20"/>
                <w:szCs w:val="16"/>
              </w:rPr>
              <w:t>Costo de Explotación</w:t>
            </w:r>
          </w:p>
          <w:p w14:paraId="11BC6FB6" w14:textId="77777777" w:rsidR="00073201" w:rsidRPr="0028534A" w:rsidRDefault="00073201" w:rsidP="00BE5EFC">
            <w:pPr>
              <w:spacing w:after="0" w:line="240" w:lineRule="auto"/>
              <w:ind w:firstLine="90"/>
              <w:jc w:val="center"/>
              <w:rPr>
                <w:rFonts w:ascii="Arial Narrow" w:hAnsi="Arial Narrow"/>
                <w:color w:val="FFFFFF" w:themeColor="background1"/>
                <w:sz w:val="20"/>
                <w:szCs w:val="16"/>
              </w:rPr>
            </w:pPr>
            <w:r w:rsidRPr="0028534A">
              <w:rPr>
                <w:rFonts w:ascii="Arial Narrow" w:hAnsi="Arial Narrow"/>
                <w:b/>
                <w:bCs/>
                <w:i/>
                <w:iCs/>
                <w:color w:val="FFFFFF" w:themeColor="background1"/>
                <w:sz w:val="18"/>
                <w:szCs w:val="16"/>
              </w:rPr>
              <w:t>(millones de pesos)</w:t>
            </w:r>
          </w:p>
        </w:tc>
        <w:tc>
          <w:tcPr>
            <w:tcW w:w="103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05166074" w14:textId="77777777" w:rsidR="00073201" w:rsidRPr="0028534A" w:rsidRDefault="00073201" w:rsidP="00BE5EFC">
            <w:pPr>
              <w:spacing w:after="0" w:line="240" w:lineRule="auto"/>
              <w:ind w:firstLine="90"/>
              <w:jc w:val="center"/>
              <w:rPr>
                <w:rFonts w:ascii="Arial Narrow" w:hAnsi="Arial Narrow"/>
                <w:color w:val="FFFFFF" w:themeColor="background1"/>
                <w:sz w:val="20"/>
                <w:szCs w:val="16"/>
              </w:rPr>
            </w:pPr>
            <w:r w:rsidRPr="0028534A">
              <w:rPr>
                <w:rFonts w:ascii="Arial Narrow" w:hAnsi="Arial Narrow"/>
                <w:b/>
                <w:bCs/>
                <w:color w:val="FFFFFF" w:themeColor="background1"/>
                <w:sz w:val="20"/>
                <w:szCs w:val="16"/>
              </w:rPr>
              <w:t>EFD 2014</w:t>
            </w:r>
          </w:p>
        </w:tc>
      </w:tr>
      <w:tr w:rsidR="00073201" w:rsidRPr="0028534A" w14:paraId="3BD8EF93" w14:textId="77777777" w:rsidTr="00BE5EFC">
        <w:trPr>
          <w:trHeight w:val="227"/>
          <w:jc w:val="center"/>
        </w:trPr>
        <w:tc>
          <w:tcPr>
            <w:tcW w:w="3785" w:type="dxa"/>
            <w:tcBorders>
              <w:top w:val="single" w:sz="4" w:space="0" w:color="auto"/>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0F2E853F"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Remuneraciones</w:t>
            </w:r>
          </w:p>
        </w:tc>
        <w:tc>
          <w:tcPr>
            <w:tcW w:w="1030" w:type="dxa"/>
            <w:tcBorders>
              <w:top w:val="single" w:sz="4" w:space="0" w:color="auto"/>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06BA804E"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46,106</w:t>
            </w:r>
          </w:p>
        </w:tc>
      </w:tr>
      <w:tr w:rsidR="00073201" w:rsidRPr="0028534A" w14:paraId="7DA15E7E"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0C6BBFEF"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Obligaciones Laborales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1CAEEC06"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55,090</w:t>
            </w:r>
          </w:p>
        </w:tc>
      </w:tr>
      <w:tr w:rsidR="00073201" w:rsidRPr="0028534A" w14:paraId="53E41FCF"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32B31072"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Energéticos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1A8AA4E2"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99,275</w:t>
            </w:r>
          </w:p>
        </w:tc>
      </w:tr>
      <w:tr w:rsidR="00073201" w:rsidRPr="0028534A" w14:paraId="220577E1"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71A51A65"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Productores externos (con fijos)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65F2787E"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52,102</w:t>
            </w:r>
          </w:p>
        </w:tc>
      </w:tr>
      <w:tr w:rsidR="00073201" w:rsidRPr="0028534A" w14:paraId="2C4927CF"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46D4C11D"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Fuerza comprada</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6B014F39"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2,326</w:t>
            </w:r>
          </w:p>
        </w:tc>
      </w:tr>
      <w:tr w:rsidR="00073201" w:rsidRPr="0028534A" w14:paraId="12140D57"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0D88EB79" w14:textId="4F339344"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Mant</w:t>
            </w:r>
            <w:r w:rsidR="009E115A">
              <w:rPr>
                <w:rFonts w:ascii="Arial Narrow" w:hAnsi="Arial Narrow"/>
                <w:sz w:val="20"/>
                <w:szCs w:val="16"/>
              </w:rPr>
              <w:t>enimiento y s</w:t>
            </w:r>
            <w:r w:rsidRPr="0028534A">
              <w:rPr>
                <w:rFonts w:ascii="Arial Narrow" w:hAnsi="Arial Narrow"/>
                <w:sz w:val="20"/>
                <w:szCs w:val="16"/>
              </w:rPr>
              <w:t>erv</w:t>
            </w:r>
            <w:r w:rsidR="009E115A">
              <w:rPr>
                <w:rFonts w:ascii="Arial Narrow" w:hAnsi="Arial Narrow"/>
                <w:sz w:val="20"/>
                <w:szCs w:val="16"/>
              </w:rPr>
              <w:t>icios generales p</w:t>
            </w:r>
            <w:r w:rsidRPr="0028534A">
              <w:rPr>
                <w:rFonts w:ascii="Arial Narrow" w:hAnsi="Arial Narrow"/>
                <w:sz w:val="20"/>
                <w:szCs w:val="16"/>
              </w:rPr>
              <w:t xml:space="preserve">or </w:t>
            </w:r>
            <w:r w:rsidR="009E115A">
              <w:rPr>
                <w:rFonts w:ascii="Arial Narrow" w:hAnsi="Arial Narrow"/>
                <w:sz w:val="20"/>
                <w:szCs w:val="16"/>
              </w:rPr>
              <w:t>contrato</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58BE2812"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18,182</w:t>
            </w:r>
          </w:p>
        </w:tc>
      </w:tr>
      <w:tr w:rsidR="00073201" w:rsidRPr="0028534A" w14:paraId="026AF670"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26506B12" w14:textId="392FBE48"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Mat</w:t>
            </w:r>
            <w:r w:rsidR="009E115A">
              <w:rPr>
                <w:rFonts w:ascii="Arial Narrow" w:hAnsi="Arial Narrow"/>
                <w:sz w:val="20"/>
                <w:szCs w:val="16"/>
              </w:rPr>
              <w:t>eriales de m</w:t>
            </w:r>
            <w:r w:rsidRPr="0028534A">
              <w:rPr>
                <w:rFonts w:ascii="Arial Narrow" w:hAnsi="Arial Narrow"/>
                <w:sz w:val="20"/>
                <w:szCs w:val="16"/>
              </w:rPr>
              <w:t>ant</w:t>
            </w:r>
            <w:r w:rsidR="009E115A">
              <w:rPr>
                <w:rFonts w:ascii="Arial Narrow" w:hAnsi="Arial Narrow"/>
                <w:sz w:val="20"/>
                <w:szCs w:val="16"/>
              </w:rPr>
              <w:t>enimiento y c</w:t>
            </w:r>
            <w:r w:rsidRPr="0028534A">
              <w:rPr>
                <w:rFonts w:ascii="Arial Narrow" w:hAnsi="Arial Narrow"/>
                <w:sz w:val="20"/>
                <w:szCs w:val="16"/>
              </w:rPr>
              <w:t>ons</w:t>
            </w:r>
            <w:r w:rsidR="009E115A">
              <w:rPr>
                <w:rFonts w:ascii="Arial Narrow" w:hAnsi="Arial Narrow"/>
                <w:sz w:val="20"/>
                <w:szCs w:val="16"/>
              </w:rPr>
              <w:t>umo</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7628484F"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8,925</w:t>
            </w:r>
          </w:p>
        </w:tc>
      </w:tr>
      <w:tr w:rsidR="00073201" w:rsidRPr="0028534A" w14:paraId="4DAB31FC"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5C7CE45A"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Impuestos y Derechos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3E513D58"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6,400</w:t>
            </w:r>
          </w:p>
        </w:tc>
      </w:tr>
      <w:tr w:rsidR="00073201" w:rsidRPr="0028534A" w14:paraId="0A8C7F6B"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3BA9624B"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Otros Gastos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6C2CB79A"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6,904</w:t>
            </w:r>
          </w:p>
        </w:tc>
      </w:tr>
      <w:tr w:rsidR="00073201" w:rsidRPr="0028534A" w14:paraId="58C056A7"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4B00D1B6" w14:textId="32B546B0" w:rsidR="00073201" w:rsidRPr="0028534A" w:rsidRDefault="009E115A" w:rsidP="00BE5EFC">
            <w:pPr>
              <w:spacing w:after="0" w:line="240" w:lineRule="auto"/>
              <w:ind w:firstLine="90"/>
              <w:rPr>
                <w:rFonts w:ascii="Arial Narrow" w:hAnsi="Arial Narrow"/>
                <w:sz w:val="20"/>
                <w:szCs w:val="16"/>
              </w:rPr>
            </w:pPr>
            <w:r>
              <w:rPr>
                <w:rFonts w:ascii="Arial Narrow" w:hAnsi="Arial Narrow"/>
                <w:sz w:val="20"/>
                <w:szCs w:val="16"/>
              </w:rPr>
              <w:t xml:space="preserve">Energía eléctrica de empleados </w:t>
            </w:r>
            <w:r w:rsidR="00073201" w:rsidRPr="0028534A">
              <w:rPr>
                <w:rFonts w:ascii="Arial Narrow" w:hAnsi="Arial Narrow"/>
                <w:sz w:val="20"/>
                <w:szCs w:val="16"/>
              </w:rPr>
              <w:t>y usos propios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797A028A" w14:textId="77777777" w:rsidR="00073201" w:rsidRPr="0028534A" w:rsidRDefault="0028534A" w:rsidP="00BE5EFC">
            <w:pPr>
              <w:spacing w:after="0" w:line="240" w:lineRule="auto"/>
              <w:ind w:firstLine="90"/>
              <w:jc w:val="right"/>
              <w:rPr>
                <w:rFonts w:ascii="Arial Narrow" w:hAnsi="Arial Narrow"/>
                <w:sz w:val="20"/>
                <w:szCs w:val="16"/>
              </w:rPr>
            </w:pPr>
            <w:r>
              <w:rPr>
                <w:rFonts w:ascii="Arial Narrow" w:hAnsi="Arial Narrow"/>
                <w:sz w:val="20"/>
                <w:szCs w:val="16"/>
              </w:rPr>
              <w:t>-3,067</w:t>
            </w:r>
          </w:p>
        </w:tc>
      </w:tr>
      <w:tr w:rsidR="00073201" w:rsidRPr="0028534A" w14:paraId="4E40EF51"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65C91B82" w14:textId="284A2155" w:rsidR="00073201" w:rsidRPr="0028534A" w:rsidRDefault="009E115A" w:rsidP="00BE5EFC">
            <w:pPr>
              <w:spacing w:after="0" w:line="240" w:lineRule="auto"/>
              <w:ind w:firstLine="90"/>
              <w:rPr>
                <w:rFonts w:ascii="Arial Narrow" w:hAnsi="Arial Narrow"/>
                <w:sz w:val="20"/>
                <w:szCs w:val="16"/>
              </w:rPr>
            </w:pPr>
            <w:r>
              <w:rPr>
                <w:rFonts w:ascii="Arial Narrow" w:hAnsi="Arial Narrow"/>
                <w:sz w:val="20"/>
                <w:szCs w:val="16"/>
              </w:rPr>
              <w:t>Indirectos de oficinas nacionales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6F313812" w14:textId="77777777"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sz w:val="20"/>
                <w:szCs w:val="16"/>
              </w:rPr>
              <w:t>8,151</w:t>
            </w:r>
          </w:p>
        </w:tc>
      </w:tr>
      <w:tr w:rsidR="00073201" w:rsidRPr="0028534A" w14:paraId="279CA0FE"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2C29DC1B"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Exportación</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5CEDBDF1" w14:textId="77777777" w:rsidR="00073201" w:rsidRPr="0028534A" w:rsidRDefault="0028534A" w:rsidP="00BE5EFC">
            <w:pPr>
              <w:spacing w:after="0" w:line="240" w:lineRule="auto"/>
              <w:ind w:firstLine="90"/>
              <w:jc w:val="right"/>
              <w:rPr>
                <w:rFonts w:ascii="Arial Narrow" w:hAnsi="Arial Narrow"/>
                <w:sz w:val="20"/>
                <w:szCs w:val="16"/>
              </w:rPr>
            </w:pPr>
            <w:r>
              <w:rPr>
                <w:rFonts w:ascii="Arial Narrow" w:hAnsi="Arial Narrow"/>
                <w:sz w:val="20"/>
                <w:szCs w:val="16"/>
              </w:rPr>
              <w:t>-1,136</w:t>
            </w:r>
          </w:p>
        </w:tc>
      </w:tr>
      <w:tr w:rsidR="00073201" w:rsidRPr="0028534A" w14:paraId="7658FF2C" w14:textId="77777777" w:rsidTr="00BE5EFC">
        <w:trPr>
          <w:trHeight w:val="227"/>
          <w:jc w:val="center"/>
        </w:trPr>
        <w:tc>
          <w:tcPr>
            <w:tcW w:w="3785"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3ED8ECF7"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Reconexiones</w:t>
            </w:r>
          </w:p>
        </w:tc>
        <w:tc>
          <w:tcPr>
            <w:tcW w:w="103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center"/>
            <w:hideMark/>
          </w:tcPr>
          <w:p w14:paraId="23079E84" w14:textId="77777777" w:rsidR="00073201" w:rsidRPr="0028534A" w:rsidRDefault="0028534A" w:rsidP="00BE5EFC">
            <w:pPr>
              <w:spacing w:after="0" w:line="240" w:lineRule="auto"/>
              <w:ind w:firstLine="90"/>
              <w:jc w:val="right"/>
              <w:rPr>
                <w:rFonts w:ascii="Arial Narrow" w:hAnsi="Arial Narrow"/>
                <w:sz w:val="20"/>
                <w:szCs w:val="16"/>
              </w:rPr>
            </w:pPr>
            <w:r>
              <w:rPr>
                <w:rFonts w:ascii="Arial Narrow" w:hAnsi="Arial Narrow"/>
                <w:sz w:val="20"/>
                <w:szCs w:val="16"/>
              </w:rPr>
              <w:t>-356</w:t>
            </w:r>
          </w:p>
        </w:tc>
      </w:tr>
      <w:tr w:rsidR="00073201" w:rsidRPr="0028534A" w14:paraId="290CD31F" w14:textId="77777777" w:rsidTr="00BE5EFC">
        <w:trPr>
          <w:trHeight w:val="227"/>
          <w:jc w:val="center"/>
        </w:trPr>
        <w:tc>
          <w:tcPr>
            <w:tcW w:w="3785" w:type="dxa"/>
            <w:tcBorders>
              <w:top w:val="single" w:sz="8" w:space="0" w:color="FFFFFF"/>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42374A"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sz w:val="20"/>
                <w:szCs w:val="16"/>
              </w:rPr>
              <w:t>Renta de torres postes y otras instalaciones</w:t>
            </w:r>
          </w:p>
        </w:tc>
        <w:tc>
          <w:tcPr>
            <w:tcW w:w="1030" w:type="dxa"/>
            <w:tcBorders>
              <w:top w:val="single" w:sz="8" w:space="0" w:color="FFFFFF"/>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4FF8E9" w14:textId="77777777" w:rsidR="00073201" w:rsidRPr="0028534A" w:rsidRDefault="0028534A" w:rsidP="00BE5EFC">
            <w:pPr>
              <w:spacing w:after="0" w:line="240" w:lineRule="auto"/>
              <w:ind w:firstLine="90"/>
              <w:jc w:val="right"/>
              <w:rPr>
                <w:rFonts w:ascii="Arial Narrow" w:hAnsi="Arial Narrow"/>
                <w:sz w:val="20"/>
                <w:szCs w:val="16"/>
              </w:rPr>
            </w:pPr>
            <w:r>
              <w:rPr>
                <w:rFonts w:ascii="Arial Narrow" w:hAnsi="Arial Narrow"/>
                <w:sz w:val="20"/>
                <w:szCs w:val="16"/>
              </w:rPr>
              <w:t>-322</w:t>
            </w:r>
          </w:p>
        </w:tc>
      </w:tr>
      <w:tr w:rsidR="00073201" w:rsidRPr="0028534A" w14:paraId="1D9F40AE" w14:textId="77777777" w:rsidTr="00BE5EFC">
        <w:trPr>
          <w:trHeight w:val="227"/>
          <w:jc w:val="center"/>
        </w:trPr>
        <w:tc>
          <w:tcPr>
            <w:tcW w:w="37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C0C02E2" w14:textId="77777777" w:rsidR="00073201" w:rsidRPr="0028534A" w:rsidRDefault="00073201" w:rsidP="00BE5EFC">
            <w:pPr>
              <w:spacing w:after="0" w:line="240" w:lineRule="auto"/>
              <w:ind w:firstLine="90"/>
              <w:rPr>
                <w:rFonts w:ascii="Arial Narrow" w:hAnsi="Arial Narrow"/>
                <w:sz w:val="20"/>
                <w:szCs w:val="16"/>
              </w:rPr>
            </w:pPr>
            <w:r w:rsidRPr="0028534A">
              <w:rPr>
                <w:rFonts w:ascii="Arial Narrow" w:hAnsi="Arial Narrow"/>
                <w:b/>
                <w:bCs/>
                <w:sz w:val="20"/>
                <w:szCs w:val="16"/>
              </w:rPr>
              <w:t>Total</w:t>
            </w:r>
          </w:p>
        </w:tc>
        <w:tc>
          <w:tcPr>
            <w:tcW w:w="10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3D781E7" w14:textId="10F0C4A6" w:rsidR="00073201" w:rsidRPr="0028534A" w:rsidRDefault="00073201" w:rsidP="00BE5EFC">
            <w:pPr>
              <w:spacing w:after="0" w:line="240" w:lineRule="auto"/>
              <w:ind w:firstLine="90"/>
              <w:jc w:val="right"/>
              <w:rPr>
                <w:rFonts w:ascii="Arial Narrow" w:hAnsi="Arial Narrow"/>
                <w:sz w:val="20"/>
                <w:szCs w:val="16"/>
              </w:rPr>
            </w:pPr>
            <w:r w:rsidRPr="0028534A">
              <w:rPr>
                <w:rFonts w:ascii="Arial Narrow" w:hAnsi="Arial Narrow"/>
                <w:b/>
                <w:bCs/>
                <w:sz w:val="20"/>
                <w:szCs w:val="16"/>
              </w:rPr>
              <w:t>298,581</w:t>
            </w:r>
          </w:p>
        </w:tc>
      </w:tr>
    </w:tbl>
    <w:p w14:paraId="1EEA02F5" w14:textId="77777777" w:rsidR="00B4545F" w:rsidRDefault="00B4545F" w:rsidP="00073201">
      <w:pPr>
        <w:spacing w:after="0" w:line="240" w:lineRule="auto"/>
        <w:jc w:val="both"/>
        <w:rPr>
          <w:rFonts w:ascii="Arial Narrow" w:hAnsi="Arial Narrow"/>
        </w:rPr>
      </w:pPr>
    </w:p>
    <w:p w14:paraId="4E88787F" w14:textId="47AD2D1B" w:rsidR="0062545A" w:rsidRDefault="00073201" w:rsidP="00073201">
      <w:pPr>
        <w:spacing w:after="0" w:line="240" w:lineRule="auto"/>
        <w:jc w:val="both"/>
        <w:rPr>
          <w:rFonts w:ascii="Arial Narrow" w:hAnsi="Arial Narrow"/>
        </w:rPr>
      </w:pPr>
      <w:r>
        <w:rPr>
          <w:rFonts w:ascii="Arial Narrow" w:hAnsi="Arial Narrow"/>
        </w:rPr>
        <w:lastRenderedPageBreak/>
        <w:t>Para obtener los costos de explotación 2016</w:t>
      </w:r>
      <w:r w:rsidR="00AE3914">
        <w:rPr>
          <w:rFonts w:ascii="Arial Narrow" w:hAnsi="Arial Narrow"/>
        </w:rPr>
        <w:t>-2018</w:t>
      </w:r>
      <w:r>
        <w:rPr>
          <w:rFonts w:ascii="Arial Narrow" w:hAnsi="Arial Narrow"/>
        </w:rPr>
        <w:t xml:space="preserve">, se proyectan los montos que contiene la </w:t>
      </w:r>
      <w:r w:rsidR="00EE7C88">
        <w:rPr>
          <w:rFonts w:ascii="Arial Narrow" w:hAnsi="Arial Narrow"/>
        </w:rPr>
        <w:t>Tabla 1</w:t>
      </w:r>
      <w:r>
        <w:rPr>
          <w:rFonts w:ascii="Arial Narrow" w:hAnsi="Arial Narrow"/>
        </w:rPr>
        <w:t xml:space="preserve"> considerando lo siguiente:</w:t>
      </w:r>
    </w:p>
    <w:p w14:paraId="64837D0C" w14:textId="77777777" w:rsidR="0062545A" w:rsidRDefault="0062545A" w:rsidP="00073201">
      <w:pPr>
        <w:spacing w:after="0" w:line="240" w:lineRule="auto"/>
        <w:jc w:val="both"/>
        <w:rPr>
          <w:rFonts w:ascii="Arial Narrow" w:hAnsi="Arial Narrow"/>
        </w:rPr>
      </w:pPr>
    </w:p>
    <w:p w14:paraId="236123A8" w14:textId="77777777" w:rsidR="00F72B24" w:rsidRPr="0062545A" w:rsidRDefault="00F72B24" w:rsidP="00AA2059">
      <w:pPr>
        <w:numPr>
          <w:ilvl w:val="0"/>
          <w:numId w:val="2"/>
        </w:numPr>
        <w:spacing w:after="0" w:line="240" w:lineRule="auto"/>
        <w:jc w:val="both"/>
        <w:rPr>
          <w:rFonts w:ascii="Arial Narrow" w:hAnsi="Arial Narrow"/>
        </w:rPr>
      </w:pPr>
      <w:r w:rsidRPr="0062545A">
        <w:rPr>
          <w:rFonts w:ascii="Arial Narrow" w:hAnsi="Arial Narrow"/>
          <w:i/>
          <w:iCs/>
        </w:rPr>
        <w:t>Remuneraciones</w:t>
      </w:r>
      <w:r w:rsidRPr="0062545A">
        <w:rPr>
          <w:rFonts w:ascii="Arial Narrow" w:hAnsi="Arial Narrow"/>
        </w:rPr>
        <w:t xml:space="preserve"> se proyecta con un incremento salarial del 6% anual.</w:t>
      </w:r>
    </w:p>
    <w:p w14:paraId="60A1A5E4" w14:textId="77777777" w:rsidR="00F72B24" w:rsidRPr="0062545A" w:rsidRDefault="00F72B24" w:rsidP="00AA2059">
      <w:pPr>
        <w:numPr>
          <w:ilvl w:val="0"/>
          <w:numId w:val="2"/>
        </w:numPr>
        <w:spacing w:after="0" w:line="240" w:lineRule="auto"/>
        <w:jc w:val="both"/>
        <w:rPr>
          <w:rFonts w:ascii="Arial Narrow" w:hAnsi="Arial Narrow"/>
        </w:rPr>
      </w:pPr>
      <w:r w:rsidRPr="0062545A">
        <w:rPr>
          <w:rFonts w:ascii="Arial Narrow" w:hAnsi="Arial Narrow"/>
          <w:i/>
          <w:iCs/>
        </w:rPr>
        <w:t>Obligaciones laborales</w:t>
      </w:r>
      <w:r w:rsidRPr="0062545A">
        <w:rPr>
          <w:rFonts w:ascii="Arial Narrow" w:hAnsi="Arial Narrow"/>
        </w:rPr>
        <w:t xml:space="preserve"> es resultado de una estimación actuarial, con datos de esta cuenta desde 2008.</w:t>
      </w:r>
    </w:p>
    <w:p w14:paraId="34660F12" w14:textId="47027835" w:rsidR="00F72B24" w:rsidRPr="0062545A" w:rsidRDefault="009E115A" w:rsidP="00AA2059">
      <w:pPr>
        <w:numPr>
          <w:ilvl w:val="0"/>
          <w:numId w:val="2"/>
        </w:numPr>
        <w:spacing w:after="0" w:line="240" w:lineRule="auto"/>
        <w:jc w:val="both"/>
        <w:rPr>
          <w:rFonts w:ascii="Arial Narrow" w:hAnsi="Arial Narrow"/>
        </w:rPr>
      </w:pPr>
      <w:r>
        <w:rPr>
          <w:rFonts w:ascii="Arial Narrow" w:hAnsi="Arial Narrow"/>
          <w:i/>
          <w:iCs/>
        </w:rPr>
        <w:t>Energéticos, p</w:t>
      </w:r>
      <w:r w:rsidR="00F72B24" w:rsidRPr="0062545A">
        <w:rPr>
          <w:rFonts w:ascii="Arial Narrow" w:hAnsi="Arial Narrow"/>
          <w:i/>
          <w:iCs/>
        </w:rPr>
        <w:t xml:space="preserve">roductores externos </w:t>
      </w:r>
      <w:r w:rsidR="00F72B24" w:rsidRPr="0062545A">
        <w:rPr>
          <w:rFonts w:ascii="Arial Narrow" w:hAnsi="Arial Narrow"/>
        </w:rPr>
        <w:t xml:space="preserve">y </w:t>
      </w:r>
      <w:r>
        <w:rPr>
          <w:rFonts w:ascii="Arial Narrow" w:hAnsi="Arial Narrow"/>
          <w:i/>
          <w:iCs/>
        </w:rPr>
        <w:t>f</w:t>
      </w:r>
      <w:r w:rsidR="00F72B24" w:rsidRPr="0062545A">
        <w:rPr>
          <w:rFonts w:ascii="Arial Narrow" w:hAnsi="Arial Narrow"/>
          <w:i/>
          <w:iCs/>
        </w:rPr>
        <w:t>uerza comprada</w:t>
      </w:r>
      <w:r w:rsidR="00ED4A02">
        <w:rPr>
          <w:rFonts w:ascii="Arial Narrow" w:hAnsi="Arial Narrow"/>
          <w:i/>
          <w:iCs/>
        </w:rPr>
        <w:t xml:space="preserve"> </w:t>
      </w:r>
      <w:r w:rsidR="00F72B24" w:rsidRPr="0062545A">
        <w:rPr>
          <w:rFonts w:ascii="Arial Narrow" w:hAnsi="Arial Narrow"/>
        </w:rPr>
        <w:t>se estima considerando el crecimiento del consumo bruto de energía y el incremento en el índice de</w:t>
      </w:r>
      <w:r>
        <w:rPr>
          <w:rFonts w:ascii="Arial Narrow" w:hAnsi="Arial Narrow"/>
        </w:rPr>
        <w:t>l</w:t>
      </w:r>
      <w:r w:rsidR="00F72B24" w:rsidRPr="0062545A">
        <w:rPr>
          <w:rFonts w:ascii="Arial Narrow" w:hAnsi="Arial Narrow"/>
        </w:rPr>
        <w:t xml:space="preserve"> costo del combustible.</w:t>
      </w:r>
    </w:p>
    <w:p w14:paraId="4A5CE6F3" w14:textId="4ED59456" w:rsidR="00F72B24" w:rsidRPr="0062545A" w:rsidRDefault="00F72B24" w:rsidP="00AA2059">
      <w:pPr>
        <w:numPr>
          <w:ilvl w:val="0"/>
          <w:numId w:val="2"/>
        </w:numPr>
        <w:spacing w:after="0" w:line="240" w:lineRule="auto"/>
        <w:jc w:val="both"/>
        <w:rPr>
          <w:rFonts w:ascii="Arial Narrow" w:hAnsi="Arial Narrow"/>
        </w:rPr>
      </w:pPr>
      <w:r w:rsidRPr="0062545A">
        <w:rPr>
          <w:rFonts w:ascii="Arial Narrow" w:hAnsi="Arial Narrow"/>
          <w:i/>
          <w:iCs/>
        </w:rPr>
        <w:t>EEE y usos propios</w:t>
      </w:r>
      <w:r w:rsidRPr="0062545A">
        <w:rPr>
          <w:rFonts w:ascii="Arial Narrow" w:hAnsi="Arial Narrow"/>
        </w:rPr>
        <w:t xml:space="preserve">, </w:t>
      </w:r>
      <w:r w:rsidRPr="0062545A">
        <w:rPr>
          <w:rFonts w:ascii="Arial Narrow" w:hAnsi="Arial Narrow"/>
          <w:i/>
          <w:iCs/>
        </w:rPr>
        <w:t xml:space="preserve">I.O.N. </w:t>
      </w:r>
      <w:r w:rsidRPr="0062545A">
        <w:rPr>
          <w:rFonts w:ascii="Arial Narrow" w:hAnsi="Arial Narrow"/>
        </w:rPr>
        <w:t>se c</w:t>
      </w:r>
      <w:r w:rsidR="007E4666">
        <w:rPr>
          <w:rFonts w:ascii="Arial Narrow" w:hAnsi="Arial Narrow"/>
        </w:rPr>
        <w:t xml:space="preserve">onsidera un incremento </w:t>
      </w:r>
      <w:r w:rsidR="009E115A">
        <w:rPr>
          <w:rFonts w:ascii="Arial Narrow" w:hAnsi="Arial Narrow"/>
        </w:rPr>
        <w:t>de</w:t>
      </w:r>
      <w:r w:rsidRPr="0062545A">
        <w:rPr>
          <w:rFonts w:ascii="Arial Narrow" w:hAnsi="Arial Narrow"/>
        </w:rPr>
        <w:t xml:space="preserve"> 5% anual.</w:t>
      </w:r>
    </w:p>
    <w:p w14:paraId="6914E811" w14:textId="28DBC4BA" w:rsidR="00F72B24" w:rsidRDefault="009E115A" w:rsidP="00D969B4">
      <w:pPr>
        <w:numPr>
          <w:ilvl w:val="0"/>
          <w:numId w:val="2"/>
        </w:numPr>
        <w:spacing w:after="0" w:line="240" w:lineRule="auto"/>
        <w:jc w:val="both"/>
        <w:rPr>
          <w:rFonts w:ascii="Arial Narrow" w:hAnsi="Arial Narrow"/>
        </w:rPr>
      </w:pPr>
      <w:r>
        <w:rPr>
          <w:rFonts w:ascii="Arial Narrow" w:hAnsi="Arial Narrow"/>
          <w:i/>
          <w:iCs/>
        </w:rPr>
        <w:t>M</w:t>
      </w:r>
      <w:r w:rsidR="00D969B4" w:rsidRPr="00D969B4">
        <w:rPr>
          <w:rFonts w:ascii="Arial Narrow" w:hAnsi="Arial Narrow"/>
          <w:i/>
          <w:iCs/>
        </w:rPr>
        <w:t>antenimiento y servicios generales por contrato</w:t>
      </w:r>
      <w:r w:rsidR="00F72B24" w:rsidRPr="0062545A">
        <w:rPr>
          <w:rFonts w:ascii="Arial Narrow" w:hAnsi="Arial Narrow"/>
        </w:rPr>
        <w:t xml:space="preserve">, </w:t>
      </w:r>
      <w:r>
        <w:rPr>
          <w:rFonts w:ascii="Arial Narrow" w:hAnsi="Arial Narrow"/>
          <w:i/>
          <w:iCs/>
        </w:rPr>
        <w:t>m</w:t>
      </w:r>
      <w:r w:rsidR="00D969B4" w:rsidRPr="00D969B4">
        <w:rPr>
          <w:rFonts w:ascii="Arial Narrow" w:hAnsi="Arial Narrow"/>
          <w:i/>
          <w:iCs/>
        </w:rPr>
        <w:t>ateriales de mantenimiento y consumo</w:t>
      </w:r>
      <w:r w:rsidR="00F72B24" w:rsidRPr="0062545A">
        <w:rPr>
          <w:rFonts w:ascii="Arial Narrow" w:hAnsi="Arial Narrow"/>
        </w:rPr>
        <w:t xml:space="preserve">, </w:t>
      </w:r>
      <w:r>
        <w:rPr>
          <w:rFonts w:ascii="Arial Narrow" w:hAnsi="Arial Narrow"/>
          <w:i/>
          <w:iCs/>
        </w:rPr>
        <w:t>Impuestos y d</w:t>
      </w:r>
      <w:r w:rsidR="00F72B24" w:rsidRPr="0062545A">
        <w:rPr>
          <w:rFonts w:ascii="Arial Narrow" w:hAnsi="Arial Narrow"/>
          <w:i/>
          <w:iCs/>
        </w:rPr>
        <w:t>erechos</w:t>
      </w:r>
      <w:r w:rsidR="00F72B24" w:rsidRPr="0062545A">
        <w:rPr>
          <w:rFonts w:ascii="Arial Narrow" w:hAnsi="Arial Narrow"/>
        </w:rPr>
        <w:t xml:space="preserve">, </w:t>
      </w:r>
      <w:r>
        <w:rPr>
          <w:rFonts w:ascii="Arial Narrow" w:hAnsi="Arial Narrow"/>
          <w:i/>
          <w:iCs/>
        </w:rPr>
        <w:t>otros g</w:t>
      </w:r>
      <w:r w:rsidR="00F72B24" w:rsidRPr="0062545A">
        <w:rPr>
          <w:rFonts w:ascii="Arial Narrow" w:hAnsi="Arial Narrow"/>
          <w:i/>
          <w:iCs/>
        </w:rPr>
        <w:t>astos</w:t>
      </w:r>
      <w:r w:rsidR="00F72B24" w:rsidRPr="0062545A">
        <w:rPr>
          <w:rFonts w:ascii="Arial Narrow" w:hAnsi="Arial Narrow"/>
        </w:rPr>
        <w:t xml:space="preserve">, </w:t>
      </w:r>
      <w:r>
        <w:rPr>
          <w:rFonts w:ascii="Arial Narrow" w:hAnsi="Arial Narrow"/>
          <w:i/>
          <w:iCs/>
        </w:rPr>
        <w:t>exportaciones, reconexiones y r</w:t>
      </w:r>
      <w:r w:rsidR="00F72B24" w:rsidRPr="0062545A">
        <w:rPr>
          <w:rFonts w:ascii="Arial Narrow" w:hAnsi="Arial Narrow"/>
          <w:i/>
          <w:iCs/>
        </w:rPr>
        <w:t>enta de torres postes y otras instalaciones</w:t>
      </w:r>
      <w:r w:rsidR="00F72B24" w:rsidRPr="0062545A">
        <w:rPr>
          <w:rFonts w:ascii="Arial Narrow" w:hAnsi="Arial Narrow"/>
        </w:rPr>
        <w:t xml:space="preserve">, </w:t>
      </w:r>
      <w:r w:rsidR="0039651A">
        <w:rPr>
          <w:rFonts w:ascii="Arial Narrow" w:hAnsi="Arial Narrow"/>
        </w:rPr>
        <w:t>se toman como constantes para todo el periodo.</w:t>
      </w:r>
    </w:p>
    <w:p w14:paraId="6217D4AD" w14:textId="77777777" w:rsidR="0062545A" w:rsidRDefault="0062545A" w:rsidP="00AA2059">
      <w:pPr>
        <w:spacing w:after="0" w:line="240" w:lineRule="auto"/>
        <w:ind w:left="720"/>
        <w:jc w:val="both"/>
        <w:rPr>
          <w:rFonts w:ascii="Arial Narrow" w:hAnsi="Arial Narrow"/>
        </w:rPr>
      </w:pPr>
    </w:p>
    <w:p w14:paraId="4746DE65" w14:textId="77777777" w:rsidR="0062545A" w:rsidRPr="0062545A" w:rsidRDefault="0062545A" w:rsidP="0062545A">
      <w:pPr>
        <w:pStyle w:val="Ttulo2"/>
        <w:ind w:left="448" w:right="45" w:hanging="448"/>
        <w:rPr>
          <w:rFonts w:ascii="Arial Narrow" w:hAnsi="Arial Narrow"/>
          <w:sz w:val="22"/>
        </w:rPr>
      </w:pPr>
      <w:bookmarkStart w:id="4" w:name="_Ref433735537"/>
      <w:r>
        <w:rPr>
          <w:rFonts w:ascii="Arial Narrow" w:hAnsi="Arial Narrow"/>
          <w:sz w:val="22"/>
        </w:rPr>
        <w:t>Costo de activos</w:t>
      </w:r>
      <w:bookmarkEnd w:id="4"/>
    </w:p>
    <w:p w14:paraId="04CE919A" w14:textId="77777777" w:rsidR="0062545A" w:rsidRDefault="0062545A" w:rsidP="00ED4F1B">
      <w:pPr>
        <w:spacing w:after="0" w:line="240" w:lineRule="auto"/>
        <w:rPr>
          <w:rFonts w:ascii="Arial Narrow" w:hAnsi="Arial Narrow"/>
        </w:rPr>
      </w:pPr>
    </w:p>
    <w:p w14:paraId="03B46A4F" w14:textId="2584197A" w:rsidR="00073201" w:rsidRDefault="0062545A" w:rsidP="00ED4F1B">
      <w:pPr>
        <w:spacing w:after="0" w:line="240" w:lineRule="auto"/>
        <w:rPr>
          <w:rFonts w:ascii="Arial Narrow" w:hAnsi="Arial Narrow"/>
        </w:rPr>
      </w:pPr>
      <w:r>
        <w:rPr>
          <w:rFonts w:ascii="Arial Narrow" w:hAnsi="Arial Narrow"/>
        </w:rPr>
        <w:t xml:space="preserve">En la siguiente tabla se muestran las </w:t>
      </w:r>
      <w:r w:rsidR="0039651A">
        <w:rPr>
          <w:rFonts w:ascii="Arial Narrow" w:hAnsi="Arial Narrow"/>
        </w:rPr>
        <w:t>cuentas consideradas como c</w:t>
      </w:r>
      <w:r>
        <w:rPr>
          <w:rFonts w:ascii="Arial Narrow" w:hAnsi="Arial Narrow"/>
        </w:rPr>
        <w:t>osto de activo.</w:t>
      </w:r>
    </w:p>
    <w:p w14:paraId="1216E8EB" w14:textId="77777777" w:rsidR="0039651A" w:rsidRDefault="0039651A" w:rsidP="0039651A">
      <w:pPr>
        <w:pStyle w:val="Descripcin"/>
        <w:jc w:val="center"/>
        <w:rPr>
          <w:sz w:val="20"/>
        </w:rPr>
      </w:pPr>
    </w:p>
    <w:p w14:paraId="32A43F38" w14:textId="77777777" w:rsidR="0039651A" w:rsidRPr="002420A3" w:rsidRDefault="0039651A" w:rsidP="0039651A">
      <w:pPr>
        <w:pStyle w:val="Descripcin"/>
        <w:jc w:val="center"/>
        <w:rPr>
          <w:sz w:val="20"/>
        </w:rPr>
      </w:pPr>
      <w:r w:rsidRPr="002420A3">
        <w:rPr>
          <w:sz w:val="20"/>
        </w:rPr>
        <w:t xml:space="preserve">Tabla </w:t>
      </w:r>
      <w:r w:rsidRPr="002420A3">
        <w:rPr>
          <w:sz w:val="20"/>
        </w:rPr>
        <w:fldChar w:fldCharType="begin"/>
      </w:r>
      <w:r w:rsidRPr="002420A3">
        <w:rPr>
          <w:sz w:val="20"/>
        </w:rPr>
        <w:instrText xml:space="preserve"> SEQ Tabla \* ARABIC </w:instrText>
      </w:r>
      <w:r w:rsidRPr="002420A3">
        <w:rPr>
          <w:sz w:val="20"/>
        </w:rPr>
        <w:fldChar w:fldCharType="separate"/>
      </w:r>
      <w:r w:rsidR="00EE7C88">
        <w:rPr>
          <w:noProof/>
          <w:sz w:val="20"/>
        </w:rPr>
        <w:t>2</w:t>
      </w:r>
      <w:r w:rsidRPr="002420A3">
        <w:rPr>
          <w:sz w:val="20"/>
        </w:rPr>
        <w:fldChar w:fldCharType="end"/>
      </w:r>
      <w:r w:rsidRPr="002420A3">
        <w:rPr>
          <w:sz w:val="20"/>
        </w:rPr>
        <w:t>. Costo de activos 2014</w:t>
      </w:r>
    </w:p>
    <w:tbl>
      <w:tblPr>
        <w:tblW w:w="2984" w:type="dxa"/>
        <w:jc w:val="center"/>
        <w:tblCellMar>
          <w:left w:w="0" w:type="dxa"/>
          <w:right w:w="0" w:type="dxa"/>
        </w:tblCellMar>
        <w:tblLook w:val="0600" w:firstRow="0" w:lastRow="0" w:firstColumn="0" w:lastColumn="0" w:noHBand="1" w:noVBand="1"/>
      </w:tblPr>
      <w:tblGrid>
        <w:gridCol w:w="2084"/>
        <w:gridCol w:w="900"/>
      </w:tblGrid>
      <w:tr w:rsidR="003B5990" w:rsidRPr="0028534A" w14:paraId="3065C49F" w14:textId="77777777" w:rsidTr="00697D08">
        <w:trPr>
          <w:trHeight w:val="20"/>
          <w:jc w:val="center"/>
        </w:trPr>
        <w:tc>
          <w:tcPr>
            <w:tcW w:w="2084"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49E9DA6E" w14:textId="77777777" w:rsidR="003B5990" w:rsidRPr="0028534A" w:rsidRDefault="003B5990" w:rsidP="003B5990">
            <w:pPr>
              <w:spacing w:after="0" w:line="240" w:lineRule="auto"/>
              <w:jc w:val="center"/>
              <w:rPr>
                <w:rFonts w:ascii="Arial Narrow" w:hAnsi="Arial Narrow"/>
                <w:color w:val="FFFFFF" w:themeColor="background1"/>
                <w:sz w:val="20"/>
              </w:rPr>
            </w:pPr>
            <w:r w:rsidRPr="0028534A">
              <w:rPr>
                <w:rFonts w:ascii="Arial Narrow" w:hAnsi="Arial Narrow"/>
                <w:b/>
                <w:bCs/>
                <w:color w:val="FFFFFF" w:themeColor="background1"/>
                <w:sz w:val="20"/>
              </w:rPr>
              <w:t>Costo de activo</w:t>
            </w:r>
          </w:p>
          <w:p w14:paraId="2B6D9656" w14:textId="77777777" w:rsidR="003B5990" w:rsidRPr="0028534A" w:rsidRDefault="003B5990" w:rsidP="003B5990">
            <w:pPr>
              <w:spacing w:after="0" w:line="240" w:lineRule="auto"/>
              <w:jc w:val="center"/>
              <w:rPr>
                <w:rFonts w:ascii="Arial Narrow" w:hAnsi="Arial Narrow"/>
                <w:color w:val="FFFFFF" w:themeColor="background1"/>
                <w:sz w:val="20"/>
              </w:rPr>
            </w:pPr>
            <w:r w:rsidRPr="0028534A">
              <w:rPr>
                <w:rFonts w:ascii="Arial Narrow" w:hAnsi="Arial Narrow"/>
                <w:b/>
                <w:bCs/>
                <w:i/>
                <w:iCs/>
                <w:color w:val="FFFFFF" w:themeColor="background1"/>
                <w:sz w:val="18"/>
              </w:rPr>
              <w:t>(millones de pesos</w:t>
            </w:r>
            <w:r w:rsidRPr="0028534A">
              <w:rPr>
                <w:rFonts w:ascii="Arial Narrow" w:hAnsi="Arial Narrow"/>
                <w:b/>
                <w:bCs/>
                <w:i/>
                <w:iCs/>
                <w:color w:val="FFFFFF" w:themeColor="background1"/>
                <w:sz w:val="20"/>
              </w:rPr>
              <w:t>)</w:t>
            </w:r>
          </w:p>
        </w:tc>
        <w:tc>
          <w:tcPr>
            <w:tcW w:w="90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262D3C0F" w14:textId="77777777" w:rsidR="003B5990" w:rsidRPr="0028534A" w:rsidRDefault="003B5990" w:rsidP="003B5990">
            <w:pPr>
              <w:spacing w:after="0" w:line="240" w:lineRule="auto"/>
              <w:jc w:val="center"/>
              <w:rPr>
                <w:rFonts w:ascii="Arial Narrow" w:hAnsi="Arial Narrow"/>
                <w:color w:val="FFFFFF" w:themeColor="background1"/>
                <w:sz w:val="20"/>
              </w:rPr>
            </w:pPr>
            <w:r w:rsidRPr="0028534A">
              <w:rPr>
                <w:rFonts w:ascii="Arial Narrow" w:hAnsi="Arial Narrow"/>
                <w:b/>
                <w:bCs/>
                <w:color w:val="FFFFFF" w:themeColor="background1"/>
                <w:sz w:val="20"/>
              </w:rPr>
              <w:t>EFD 2014</w:t>
            </w:r>
          </w:p>
        </w:tc>
      </w:tr>
      <w:tr w:rsidR="003B5990" w:rsidRPr="0028534A" w14:paraId="3951EDA4" w14:textId="77777777" w:rsidTr="00697D08">
        <w:trPr>
          <w:trHeight w:val="20"/>
          <w:jc w:val="center"/>
        </w:trPr>
        <w:tc>
          <w:tcPr>
            <w:tcW w:w="2084" w:type="dxa"/>
            <w:tcBorders>
              <w:top w:val="single" w:sz="4" w:space="0" w:color="auto"/>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4B34D1F1" w14:textId="77777777" w:rsidR="003B5990" w:rsidRPr="0028534A" w:rsidRDefault="003B5990" w:rsidP="0062545A">
            <w:pPr>
              <w:spacing w:after="0" w:line="240" w:lineRule="auto"/>
              <w:rPr>
                <w:rFonts w:ascii="Arial Narrow" w:hAnsi="Arial Narrow"/>
                <w:sz w:val="20"/>
              </w:rPr>
            </w:pPr>
            <w:r w:rsidRPr="0028534A">
              <w:rPr>
                <w:rFonts w:ascii="Arial Narrow" w:hAnsi="Arial Narrow"/>
                <w:sz w:val="20"/>
              </w:rPr>
              <w:t>Depreciación</w:t>
            </w:r>
          </w:p>
        </w:tc>
        <w:tc>
          <w:tcPr>
            <w:tcW w:w="900" w:type="dxa"/>
            <w:tcBorders>
              <w:top w:val="single" w:sz="4" w:space="0" w:color="auto"/>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4466DDA5"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sz w:val="20"/>
              </w:rPr>
              <w:t>41,565</w:t>
            </w:r>
          </w:p>
        </w:tc>
      </w:tr>
      <w:tr w:rsidR="003B5990" w:rsidRPr="0028534A" w14:paraId="282D4921" w14:textId="77777777" w:rsidTr="00697D08">
        <w:trPr>
          <w:trHeight w:val="20"/>
          <w:jc w:val="center"/>
        </w:trPr>
        <w:tc>
          <w:tcPr>
            <w:tcW w:w="2084"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1716793C" w14:textId="77777777" w:rsidR="003B5990" w:rsidRPr="0028534A" w:rsidRDefault="003B5990" w:rsidP="0062545A">
            <w:pPr>
              <w:spacing w:after="0" w:line="240" w:lineRule="auto"/>
              <w:rPr>
                <w:rFonts w:ascii="Arial Narrow" w:hAnsi="Arial Narrow"/>
                <w:sz w:val="20"/>
              </w:rPr>
            </w:pPr>
            <w:r w:rsidRPr="0028534A">
              <w:rPr>
                <w:rFonts w:ascii="Arial Narrow" w:hAnsi="Arial Narrow"/>
                <w:sz w:val="20"/>
              </w:rPr>
              <w:t>Aprovechamiento</w:t>
            </w:r>
          </w:p>
        </w:tc>
        <w:tc>
          <w:tcPr>
            <w:tcW w:w="90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54359F4E"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sz w:val="20"/>
              </w:rPr>
              <w:t>58,792</w:t>
            </w:r>
          </w:p>
        </w:tc>
      </w:tr>
      <w:tr w:rsidR="003B5990" w:rsidRPr="0028534A" w14:paraId="0958FA9C" w14:textId="77777777" w:rsidTr="00697D08">
        <w:trPr>
          <w:trHeight w:val="20"/>
          <w:jc w:val="center"/>
        </w:trPr>
        <w:tc>
          <w:tcPr>
            <w:tcW w:w="2084"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6C5B5000" w14:textId="77777777" w:rsidR="003B5990" w:rsidRPr="0028534A" w:rsidRDefault="003B5990" w:rsidP="0062545A">
            <w:pPr>
              <w:spacing w:after="0" w:line="240" w:lineRule="auto"/>
              <w:rPr>
                <w:rFonts w:ascii="Arial Narrow" w:hAnsi="Arial Narrow"/>
                <w:sz w:val="20"/>
              </w:rPr>
            </w:pPr>
            <w:r w:rsidRPr="0028534A">
              <w:rPr>
                <w:rFonts w:ascii="Arial Narrow" w:hAnsi="Arial Narrow"/>
                <w:sz w:val="20"/>
              </w:rPr>
              <w:t>Intereses Deuda Titulada</w:t>
            </w:r>
          </w:p>
        </w:tc>
        <w:tc>
          <w:tcPr>
            <w:tcW w:w="90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0619081D"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sz w:val="20"/>
              </w:rPr>
              <w:t>7,736</w:t>
            </w:r>
          </w:p>
        </w:tc>
      </w:tr>
      <w:tr w:rsidR="003B5990" w:rsidRPr="0028534A" w14:paraId="6840E980" w14:textId="77777777" w:rsidTr="00697D08">
        <w:trPr>
          <w:trHeight w:val="20"/>
          <w:jc w:val="center"/>
        </w:trPr>
        <w:tc>
          <w:tcPr>
            <w:tcW w:w="2084"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3592DD62" w14:textId="77777777" w:rsidR="003B5990" w:rsidRPr="0028534A" w:rsidRDefault="003B5990" w:rsidP="0062545A">
            <w:pPr>
              <w:spacing w:after="0" w:line="240" w:lineRule="auto"/>
              <w:rPr>
                <w:rFonts w:ascii="Arial Narrow" w:hAnsi="Arial Narrow"/>
                <w:sz w:val="20"/>
              </w:rPr>
            </w:pPr>
            <w:r w:rsidRPr="0028534A">
              <w:rPr>
                <w:rFonts w:ascii="Arial Narrow" w:hAnsi="Arial Narrow"/>
                <w:sz w:val="20"/>
              </w:rPr>
              <w:t>Intereses PIDIREGAS</w:t>
            </w:r>
          </w:p>
        </w:tc>
        <w:tc>
          <w:tcPr>
            <w:tcW w:w="90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5E43C09B"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sz w:val="20"/>
              </w:rPr>
              <w:t>5,318</w:t>
            </w:r>
          </w:p>
        </w:tc>
      </w:tr>
      <w:tr w:rsidR="003B5990" w:rsidRPr="0028534A" w14:paraId="54765A21" w14:textId="77777777" w:rsidTr="00697D08">
        <w:trPr>
          <w:trHeight w:val="20"/>
          <w:jc w:val="center"/>
        </w:trPr>
        <w:tc>
          <w:tcPr>
            <w:tcW w:w="2084"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1D4AC29F" w14:textId="77777777" w:rsidR="003B5990" w:rsidRPr="0028534A" w:rsidRDefault="003B5990" w:rsidP="0062545A">
            <w:pPr>
              <w:spacing w:after="0" w:line="240" w:lineRule="auto"/>
              <w:rPr>
                <w:rFonts w:ascii="Arial Narrow" w:hAnsi="Arial Narrow"/>
                <w:sz w:val="20"/>
              </w:rPr>
            </w:pPr>
            <w:r w:rsidRPr="0028534A">
              <w:rPr>
                <w:rFonts w:ascii="Arial Narrow" w:hAnsi="Arial Narrow"/>
                <w:sz w:val="20"/>
              </w:rPr>
              <w:t xml:space="preserve">Intereses </w:t>
            </w:r>
            <w:proofErr w:type="spellStart"/>
            <w:r w:rsidRPr="0028534A">
              <w:rPr>
                <w:rFonts w:ascii="Arial Narrow" w:hAnsi="Arial Narrow"/>
                <w:sz w:val="20"/>
              </w:rPr>
              <w:t>PEE´s</w:t>
            </w:r>
            <w:proofErr w:type="spellEnd"/>
          </w:p>
        </w:tc>
        <w:tc>
          <w:tcPr>
            <w:tcW w:w="900" w:type="dxa"/>
            <w:tcBorders>
              <w:top w:val="single" w:sz="8" w:space="0" w:color="FFFFFF"/>
              <w:left w:val="single" w:sz="4" w:space="0" w:color="auto"/>
              <w:bottom w:val="single" w:sz="8" w:space="0" w:color="FFFFFF"/>
              <w:right w:val="single" w:sz="4" w:space="0" w:color="auto"/>
            </w:tcBorders>
            <w:shd w:val="clear" w:color="auto" w:fill="auto"/>
            <w:tcMar>
              <w:top w:w="15" w:type="dxa"/>
              <w:left w:w="15" w:type="dxa"/>
              <w:bottom w:w="0" w:type="dxa"/>
              <w:right w:w="15" w:type="dxa"/>
            </w:tcMar>
            <w:vAlign w:val="bottom"/>
            <w:hideMark/>
          </w:tcPr>
          <w:p w14:paraId="58190F8C"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sz w:val="20"/>
              </w:rPr>
              <w:t>8,934</w:t>
            </w:r>
          </w:p>
        </w:tc>
      </w:tr>
      <w:tr w:rsidR="003B5990" w:rsidRPr="0028534A" w14:paraId="0C5E8BFB" w14:textId="77777777" w:rsidTr="00697D08">
        <w:trPr>
          <w:trHeight w:val="20"/>
          <w:jc w:val="center"/>
        </w:trPr>
        <w:tc>
          <w:tcPr>
            <w:tcW w:w="2084" w:type="dxa"/>
            <w:tcBorders>
              <w:top w:val="single" w:sz="8" w:space="0" w:color="FFFFFF"/>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B6C8FE2" w14:textId="77777777" w:rsidR="003B5990" w:rsidRPr="0028534A" w:rsidRDefault="003B5990" w:rsidP="0062545A">
            <w:pPr>
              <w:spacing w:after="0" w:line="240" w:lineRule="auto"/>
              <w:rPr>
                <w:rFonts w:ascii="Arial Narrow" w:hAnsi="Arial Narrow"/>
                <w:sz w:val="20"/>
              </w:rPr>
            </w:pPr>
            <w:r w:rsidRPr="0028534A">
              <w:rPr>
                <w:rFonts w:ascii="Arial Narrow" w:hAnsi="Arial Narrow"/>
                <w:sz w:val="20"/>
              </w:rPr>
              <w:t>Pago capacidad PEE</w:t>
            </w:r>
          </w:p>
        </w:tc>
        <w:tc>
          <w:tcPr>
            <w:tcW w:w="900" w:type="dxa"/>
            <w:tcBorders>
              <w:top w:val="single" w:sz="8" w:space="0" w:color="FFFFFF"/>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D8C084"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sz w:val="20"/>
              </w:rPr>
              <w:t>6,637</w:t>
            </w:r>
          </w:p>
        </w:tc>
      </w:tr>
      <w:tr w:rsidR="003B5990" w:rsidRPr="0028534A" w14:paraId="0C1DF282" w14:textId="77777777" w:rsidTr="00697D08">
        <w:trPr>
          <w:trHeight w:val="20"/>
          <w:jc w:val="center"/>
        </w:trPr>
        <w:tc>
          <w:tcPr>
            <w:tcW w:w="20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22CD1C2" w14:textId="77777777" w:rsidR="003B5990" w:rsidRPr="0028534A" w:rsidRDefault="003B5990" w:rsidP="0062545A">
            <w:pPr>
              <w:spacing w:after="0" w:line="240" w:lineRule="auto"/>
              <w:rPr>
                <w:rFonts w:ascii="Arial Narrow" w:hAnsi="Arial Narrow"/>
                <w:sz w:val="20"/>
              </w:rPr>
            </w:pPr>
            <w:r w:rsidRPr="0028534A">
              <w:rPr>
                <w:rFonts w:ascii="Arial Narrow" w:hAnsi="Arial Narrow"/>
                <w:b/>
                <w:bCs/>
                <w:sz w:val="20"/>
              </w:rPr>
              <w:t>Total</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C77D472" w14:textId="77777777" w:rsidR="003B5990" w:rsidRPr="0028534A" w:rsidRDefault="003B5990" w:rsidP="002420A3">
            <w:pPr>
              <w:spacing w:after="0" w:line="240" w:lineRule="auto"/>
              <w:jc w:val="center"/>
              <w:rPr>
                <w:rFonts w:ascii="Arial Narrow" w:hAnsi="Arial Narrow"/>
                <w:sz w:val="20"/>
              </w:rPr>
            </w:pPr>
            <w:r w:rsidRPr="0028534A">
              <w:rPr>
                <w:rFonts w:ascii="Arial Narrow" w:hAnsi="Arial Narrow"/>
                <w:b/>
                <w:bCs/>
                <w:sz w:val="20"/>
              </w:rPr>
              <w:t>128,982</w:t>
            </w:r>
          </w:p>
        </w:tc>
      </w:tr>
    </w:tbl>
    <w:p w14:paraId="69AE6500" w14:textId="77777777" w:rsidR="00FA659C" w:rsidRDefault="00FA659C" w:rsidP="00ED4F1B">
      <w:pPr>
        <w:spacing w:after="0" w:line="240" w:lineRule="auto"/>
        <w:rPr>
          <w:rFonts w:ascii="Arial Narrow" w:hAnsi="Arial Narrow"/>
        </w:rPr>
      </w:pPr>
    </w:p>
    <w:p w14:paraId="6265A1EA" w14:textId="4CF1A7E0" w:rsidR="0062545A" w:rsidRDefault="0039651A" w:rsidP="00ED4F1B">
      <w:pPr>
        <w:spacing w:after="0" w:line="240" w:lineRule="auto"/>
        <w:rPr>
          <w:rFonts w:ascii="Arial Narrow" w:hAnsi="Arial Narrow"/>
        </w:rPr>
      </w:pPr>
      <w:r>
        <w:rPr>
          <w:rFonts w:ascii="Arial Narrow" w:hAnsi="Arial Narrow"/>
        </w:rPr>
        <w:t>Los montos para estas cuentas se mantienen constantes a lo largo del periodo.</w:t>
      </w:r>
    </w:p>
    <w:p w14:paraId="700183F1" w14:textId="77777777" w:rsidR="00FA659C" w:rsidRDefault="00FA659C" w:rsidP="00ED4F1B">
      <w:pPr>
        <w:spacing w:after="0" w:line="240" w:lineRule="auto"/>
        <w:rPr>
          <w:rFonts w:ascii="Arial Narrow" w:hAnsi="Arial Narrow"/>
        </w:rPr>
      </w:pPr>
    </w:p>
    <w:p w14:paraId="052FB103" w14:textId="77777777" w:rsidR="002420A3" w:rsidRDefault="00195C04" w:rsidP="00195C04">
      <w:pPr>
        <w:pStyle w:val="Ttulo2"/>
        <w:ind w:left="448" w:right="45" w:hanging="448"/>
        <w:rPr>
          <w:rFonts w:ascii="Arial Narrow" w:hAnsi="Arial Narrow"/>
          <w:sz w:val="22"/>
        </w:rPr>
      </w:pPr>
      <w:bookmarkStart w:id="5" w:name="_Ref433735532"/>
      <w:r>
        <w:rPr>
          <w:rFonts w:ascii="Arial Narrow" w:hAnsi="Arial Narrow"/>
          <w:sz w:val="22"/>
        </w:rPr>
        <w:t>Funcionalización de los costos</w:t>
      </w:r>
      <w:bookmarkEnd w:id="5"/>
    </w:p>
    <w:p w14:paraId="11A66854" w14:textId="77777777" w:rsidR="00195C04" w:rsidRDefault="00195C04" w:rsidP="00CA3DC1">
      <w:pPr>
        <w:spacing w:after="0"/>
        <w:rPr>
          <w:rFonts w:ascii="Arial Narrow" w:hAnsi="Arial Narrow"/>
        </w:rPr>
      </w:pPr>
    </w:p>
    <w:p w14:paraId="37FD26BF" w14:textId="7AB9959C" w:rsidR="00A64A14" w:rsidRDefault="00195C04" w:rsidP="00F5150C">
      <w:pPr>
        <w:spacing w:after="0" w:line="240" w:lineRule="auto"/>
        <w:jc w:val="both"/>
        <w:rPr>
          <w:rFonts w:ascii="Arial Narrow" w:hAnsi="Arial Narrow"/>
        </w:rPr>
      </w:pPr>
      <w:r w:rsidRPr="00195C04">
        <w:rPr>
          <w:rFonts w:ascii="Arial Narrow" w:hAnsi="Arial Narrow"/>
        </w:rPr>
        <w:t>Hasta</w:t>
      </w:r>
      <w:r>
        <w:rPr>
          <w:rFonts w:ascii="Arial Narrow" w:hAnsi="Arial Narrow"/>
        </w:rPr>
        <w:t xml:space="preserve"> este punto se ha trabajado con los costos totales de </w:t>
      </w:r>
      <w:r w:rsidR="00CA3DC1">
        <w:rPr>
          <w:rFonts w:ascii="Arial Narrow" w:hAnsi="Arial Narrow"/>
        </w:rPr>
        <w:t xml:space="preserve">la </w:t>
      </w:r>
      <w:r>
        <w:rPr>
          <w:rFonts w:ascii="Arial Narrow" w:hAnsi="Arial Narrow"/>
        </w:rPr>
        <w:t>CFE, es decir, no se han identificado los costos propios de la actividad de Transmisión</w:t>
      </w:r>
      <w:r w:rsidR="0039651A">
        <w:rPr>
          <w:rFonts w:ascii="Arial Narrow" w:hAnsi="Arial Narrow"/>
        </w:rPr>
        <w:t>. Se entiende</w:t>
      </w:r>
      <w:r>
        <w:rPr>
          <w:rFonts w:ascii="Arial Narrow" w:hAnsi="Arial Narrow"/>
        </w:rPr>
        <w:t xml:space="preserve"> por fun</w:t>
      </w:r>
      <w:r w:rsidR="0039651A">
        <w:rPr>
          <w:rFonts w:ascii="Arial Narrow" w:hAnsi="Arial Narrow"/>
        </w:rPr>
        <w:t>cionalización de los costos a su</w:t>
      </w:r>
      <w:r>
        <w:rPr>
          <w:rFonts w:ascii="Arial Narrow" w:hAnsi="Arial Narrow"/>
        </w:rPr>
        <w:t xml:space="preserve"> asignaci</w:t>
      </w:r>
      <w:r w:rsidR="00B12735">
        <w:rPr>
          <w:rFonts w:ascii="Arial Narrow" w:hAnsi="Arial Narrow"/>
        </w:rPr>
        <w:t xml:space="preserve">ón </w:t>
      </w:r>
      <w:r w:rsidR="0039651A">
        <w:rPr>
          <w:rFonts w:ascii="Arial Narrow" w:hAnsi="Arial Narrow"/>
        </w:rPr>
        <w:t>por actividad entre</w:t>
      </w:r>
      <w:r w:rsidR="00B12735">
        <w:rPr>
          <w:rFonts w:ascii="Arial Narrow" w:hAnsi="Arial Narrow"/>
        </w:rPr>
        <w:t xml:space="preserve"> </w:t>
      </w:r>
      <w:r w:rsidR="00AA2059">
        <w:rPr>
          <w:rFonts w:ascii="Arial Narrow" w:hAnsi="Arial Narrow"/>
        </w:rPr>
        <w:t>Generación</w:t>
      </w:r>
      <w:r w:rsidR="0039651A">
        <w:rPr>
          <w:rFonts w:ascii="Arial Narrow" w:hAnsi="Arial Narrow"/>
        </w:rPr>
        <w:t xml:space="preserve">, Transmisión, </w:t>
      </w:r>
      <w:r w:rsidR="00B12735">
        <w:rPr>
          <w:rFonts w:ascii="Arial Narrow" w:hAnsi="Arial Narrow"/>
        </w:rPr>
        <w:t xml:space="preserve">Distribución </w:t>
      </w:r>
      <w:r w:rsidR="0039651A">
        <w:rPr>
          <w:rFonts w:ascii="Arial Narrow" w:hAnsi="Arial Narrow"/>
        </w:rPr>
        <w:t>y Suministro</w:t>
      </w:r>
      <w:r w:rsidR="00B12735">
        <w:rPr>
          <w:rFonts w:ascii="Arial Narrow" w:hAnsi="Arial Narrow"/>
        </w:rPr>
        <w:t>.</w:t>
      </w:r>
      <w:r w:rsidR="00F80FC2">
        <w:rPr>
          <w:rFonts w:ascii="Arial Narrow" w:hAnsi="Arial Narrow"/>
        </w:rPr>
        <w:t xml:space="preserve"> A partir de la funcionalización de l</w:t>
      </w:r>
      <w:r w:rsidR="007E4666">
        <w:rPr>
          <w:rFonts w:ascii="Arial Narrow" w:hAnsi="Arial Narrow"/>
        </w:rPr>
        <w:t xml:space="preserve">os costos, propuesta por CFE, </w:t>
      </w:r>
      <w:r w:rsidR="00CC719F">
        <w:rPr>
          <w:rFonts w:ascii="Arial Narrow" w:hAnsi="Arial Narrow"/>
        </w:rPr>
        <w:t>el descuento de los</w:t>
      </w:r>
      <w:r w:rsidR="00F80FC2">
        <w:rPr>
          <w:rFonts w:ascii="Arial Narrow" w:hAnsi="Arial Narrow"/>
        </w:rPr>
        <w:t xml:space="preserve"> costos de activo de T</w:t>
      </w:r>
      <w:r w:rsidR="00F80FC2" w:rsidRPr="00F80FC2">
        <w:rPr>
          <w:rFonts w:ascii="Arial Narrow" w:hAnsi="Arial Narrow"/>
        </w:rPr>
        <w:t xml:space="preserve">ransmisión </w:t>
      </w:r>
      <w:r w:rsidR="00CC719F">
        <w:rPr>
          <w:rFonts w:ascii="Arial Narrow" w:hAnsi="Arial Narrow"/>
        </w:rPr>
        <w:t>d</w:t>
      </w:r>
      <w:r w:rsidR="00F80FC2" w:rsidRPr="00F80FC2">
        <w:rPr>
          <w:rFonts w:ascii="Arial Narrow" w:hAnsi="Arial Narrow"/>
        </w:rPr>
        <w:t>el valor de la fibra óptica</w:t>
      </w:r>
      <w:r w:rsidR="00F80FC2">
        <w:rPr>
          <w:rFonts w:ascii="Arial Narrow" w:hAnsi="Arial Narrow"/>
        </w:rPr>
        <w:t xml:space="preserve"> (4,304 millones de pesos)</w:t>
      </w:r>
      <w:r w:rsidR="00F80FC2" w:rsidRPr="00F80FC2">
        <w:rPr>
          <w:rFonts w:ascii="Arial Narrow" w:hAnsi="Arial Narrow"/>
        </w:rPr>
        <w:t xml:space="preserve"> y las inversiones de la actividad de control</w:t>
      </w:r>
      <w:r w:rsidR="00AA2059">
        <w:rPr>
          <w:rFonts w:ascii="Arial Narrow" w:hAnsi="Arial Narrow"/>
        </w:rPr>
        <w:t xml:space="preserve"> y operación del sistema de transmisión</w:t>
      </w:r>
      <w:r w:rsidR="00F80FC2">
        <w:rPr>
          <w:rFonts w:ascii="Arial Narrow" w:hAnsi="Arial Narrow"/>
        </w:rPr>
        <w:t xml:space="preserve"> (681 millones de pesos)</w:t>
      </w:r>
      <w:r w:rsidR="00F80FC2" w:rsidRPr="00F80FC2">
        <w:rPr>
          <w:rFonts w:ascii="Arial Narrow" w:hAnsi="Arial Narrow"/>
        </w:rPr>
        <w:t xml:space="preserve">, </w:t>
      </w:r>
      <w:r w:rsidR="00F80FC2">
        <w:rPr>
          <w:rFonts w:ascii="Arial Narrow" w:hAnsi="Arial Narrow"/>
        </w:rPr>
        <w:t>se identifica</w:t>
      </w:r>
      <w:r w:rsidR="00BC6B57">
        <w:rPr>
          <w:rFonts w:ascii="Arial Narrow" w:hAnsi="Arial Narrow"/>
        </w:rPr>
        <w:t xml:space="preserve">n los costos </w:t>
      </w:r>
      <w:r w:rsidR="00CC719F">
        <w:rPr>
          <w:rFonts w:ascii="Arial Narrow" w:hAnsi="Arial Narrow"/>
        </w:rPr>
        <w:t>específicos de la actividad Transmisión</w:t>
      </w:r>
      <w:r w:rsidR="00F80FC2">
        <w:rPr>
          <w:rFonts w:ascii="Arial Narrow" w:hAnsi="Arial Narrow"/>
        </w:rPr>
        <w:t>.</w:t>
      </w:r>
    </w:p>
    <w:p w14:paraId="6592104F" w14:textId="77777777" w:rsidR="00CC719F" w:rsidRDefault="00CC719F" w:rsidP="00F5150C">
      <w:pPr>
        <w:spacing w:after="0" w:line="240" w:lineRule="auto"/>
        <w:jc w:val="both"/>
        <w:rPr>
          <w:rFonts w:ascii="Arial Narrow" w:hAnsi="Arial Narrow"/>
        </w:rPr>
      </w:pPr>
    </w:p>
    <w:p w14:paraId="5C3B2F4A" w14:textId="77777777" w:rsidR="00CC719F" w:rsidRDefault="00CC719F" w:rsidP="00CC719F">
      <w:pPr>
        <w:spacing w:after="0" w:line="240" w:lineRule="auto"/>
        <w:jc w:val="center"/>
        <w:rPr>
          <w:rFonts w:ascii="Arial Narrow" w:hAnsi="Arial Narrow"/>
          <w:b/>
          <w:bCs/>
          <w:sz w:val="20"/>
        </w:rPr>
      </w:pPr>
      <w:r w:rsidRPr="0054015F">
        <w:rPr>
          <w:rFonts w:ascii="Arial Narrow" w:hAnsi="Arial Narrow"/>
          <w:b/>
          <w:bCs/>
          <w:sz w:val="20"/>
        </w:rPr>
        <w:t xml:space="preserve">Tabla </w:t>
      </w:r>
      <w:r w:rsidRPr="0054015F">
        <w:rPr>
          <w:rFonts w:ascii="Arial Narrow" w:hAnsi="Arial Narrow"/>
          <w:b/>
          <w:bCs/>
          <w:sz w:val="20"/>
        </w:rPr>
        <w:fldChar w:fldCharType="begin"/>
      </w:r>
      <w:r w:rsidRPr="0054015F">
        <w:rPr>
          <w:rFonts w:ascii="Arial Narrow" w:hAnsi="Arial Narrow"/>
          <w:b/>
          <w:bCs/>
          <w:sz w:val="20"/>
        </w:rPr>
        <w:instrText xml:space="preserve"> SEQ Tabla \* ARABIC </w:instrText>
      </w:r>
      <w:r w:rsidRPr="0054015F">
        <w:rPr>
          <w:rFonts w:ascii="Arial Narrow" w:hAnsi="Arial Narrow"/>
          <w:b/>
          <w:bCs/>
          <w:sz w:val="20"/>
        </w:rPr>
        <w:fldChar w:fldCharType="separate"/>
      </w:r>
      <w:r w:rsidR="00EE7C88">
        <w:rPr>
          <w:rFonts w:ascii="Arial Narrow" w:hAnsi="Arial Narrow"/>
          <w:b/>
          <w:bCs/>
          <w:noProof/>
          <w:sz w:val="20"/>
        </w:rPr>
        <w:t>3</w:t>
      </w:r>
      <w:r w:rsidRPr="0054015F">
        <w:rPr>
          <w:rFonts w:ascii="Arial Narrow" w:hAnsi="Arial Narrow"/>
          <w:b/>
          <w:bCs/>
          <w:sz w:val="20"/>
        </w:rPr>
        <w:fldChar w:fldCharType="end"/>
      </w:r>
      <w:r w:rsidRPr="0054015F">
        <w:rPr>
          <w:rFonts w:ascii="Arial Narrow" w:hAnsi="Arial Narrow"/>
          <w:b/>
          <w:bCs/>
          <w:sz w:val="20"/>
        </w:rPr>
        <w:t>. Costos 2016 por proceso</w:t>
      </w:r>
    </w:p>
    <w:p w14:paraId="05C44B20" w14:textId="77777777" w:rsidR="0054015F" w:rsidRDefault="0054015F" w:rsidP="00F5150C">
      <w:pPr>
        <w:spacing w:after="0" w:line="240" w:lineRule="auto"/>
        <w:jc w:val="both"/>
        <w:rPr>
          <w:rFonts w:ascii="Arial Narrow" w:hAnsi="Arial Narrow"/>
        </w:rPr>
      </w:pPr>
    </w:p>
    <w:tbl>
      <w:tblPr>
        <w:tblW w:w="2830" w:type="dxa"/>
        <w:jc w:val="center"/>
        <w:tblCellMar>
          <w:left w:w="0" w:type="dxa"/>
          <w:right w:w="0" w:type="dxa"/>
        </w:tblCellMar>
        <w:tblLook w:val="0600" w:firstRow="0" w:lastRow="0" w:firstColumn="0" w:lastColumn="0" w:noHBand="1" w:noVBand="1"/>
      </w:tblPr>
      <w:tblGrid>
        <w:gridCol w:w="1666"/>
        <w:gridCol w:w="1164"/>
      </w:tblGrid>
      <w:tr w:rsidR="00CC719F" w:rsidRPr="0028534A" w14:paraId="1B268A3D" w14:textId="77777777" w:rsidTr="00BE5EFC">
        <w:trPr>
          <w:trHeight w:val="20"/>
          <w:jc w:val="center"/>
        </w:trPr>
        <w:tc>
          <w:tcPr>
            <w:tcW w:w="1666" w:type="dxa"/>
            <w:tcBorders>
              <w:top w:val="single" w:sz="4" w:space="0" w:color="auto"/>
              <w:left w:val="single" w:sz="4" w:space="0" w:color="auto"/>
              <w:bottom w:val="single" w:sz="4" w:space="0" w:color="auto"/>
            </w:tcBorders>
            <w:shd w:val="clear" w:color="auto" w:fill="365F91" w:themeFill="accent1" w:themeFillShade="BF"/>
            <w:tcMar>
              <w:top w:w="12" w:type="dxa"/>
              <w:left w:w="12" w:type="dxa"/>
              <w:bottom w:w="0" w:type="dxa"/>
              <w:right w:w="12" w:type="dxa"/>
            </w:tcMar>
            <w:vAlign w:val="center"/>
            <w:hideMark/>
          </w:tcPr>
          <w:p w14:paraId="5682C704" w14:textId="77777777" w:rsidR="00CC719F" w:rsidRPr="0028534A" w:rsidRDefault="00CC719F" w:rsidP="0054015F">
            <w:pPr>
              <w:spacing w:after="0" w:line="240" w:lineRule="auto"/>
              <w:jc w:val="center"/>
              <w:rPr>
                <w:rFonts w:ascii="Arial Narrow" w:hAnsi="Arial Narrow"/>
                <w:b/>
                <w:color w:val="FFFFFF" w:themeColor="background1"/>
                <w:sz w:val="20"/>
              </w:rPr>
            </w:pPr>
            <w:bookmarkStart w:id="6" w:name="_Ref433293323"/>
            <w:r w:rsidRPr="0028534A">
              <w:rPr>
                <w:rFonts w:ascii="Arial Narrow" w:hAnsi="Arial Narrow"/>
                <w:b/>
                <w:color w:val="FFFFFF" w:themeColor="background1"/>
                <w:sz w:val="20"/>
              </w:rPr>
              <w:t>Concepto</w:t>
            </w:r>
          </w:p>
        </w:tc>
        <w:tc>
          <w:tcPr>
            <w:tcW w:w="1164" w:type="dxa"/>
            <w:tcBorders>
              <w:top w:val="single" w:sz="4" w:space="0" w:color="auto"/>
              <w:bottom w:val="single" w:sz="4" w:space="0" w:color="auto"/>
              <w:right w:val="single" w:sz="4" w:space="0" w:color="auto"/>
            </w:tcBorders>
            <w:shd w:val="clear" w:color="auto" w:fill="365F91" w:themeFill="accent1" w:themeFillShade="BF"/>
            <w:tcMar>
              <w:top w:w="12" w:type="dxa"/>
              <w:left w:w="12" w:type="dxa"/>
              <w:bottom w:w="0" w:type="dxa"/>
              <w:right w:w="12" w:type="dxa"/>
            </w:tcMar>
            <w:vAlign w:val="center"/>
            <w:hideMark/>
          </w:tcPr>
          <w:p w14:paraId="7219CDBA" w14:textId="77777777" w:rsidR="00CC719F" w:rsidRPr="0028534A" w:rsidRDefault="00CC719F" w:rsidP="0054015F">
            <w:pPr>
              <w:spacing w:after="0" w:line="240" w:lineRule="auto"/>
              <w:jc w:val="center"/>
              <w:rPr>
                <w:rFonts w:ascii="Arial Narrow" w:hAnsi="Arial Narrow"/>
                <w:color w:val="FFFFFF" w:themeColor="background1"/>
                <w:sz w:val="20"/>
              </w:rPr>
            </w:pPr>
            <w:r w:rsidRPr="0028534A">
              <w:rPr>
                <w:rFonts w:ascii="Arial Narrow" w:hAnsi="Arial Narrow"/>
                <w:b/>
                <w:bCs/>
                <w:color w:val="FFFFFF" w:themeColor="background1"/>
                <w:sz w:val="20"/>
              </w:rPr>
              <w:t>Transmisión</w:t>
            </w:r>
          </w:p>
        </w:tc>
      </w:tr>
      <w:tr w:rsidR="00CC719F" w:rsidRPr="0028534A" w14:paraId="669D2D63" w14:textId="77777777" w:rsidTr="00BE5EFC">
        <w:trPr>
          <w:trHeight w:val="20"/>
          <w:jc w:val="center"/>
        </w:trPr>
        <w:tc>
          <w:tcPr>
            <w:tcW w:w="1666" w:type="dxa"/>
            <w:tcBorders>
              <w:top w:val="single" w:sz="4" w:space="0" w:color="auto"/>
              <w:left w:val="single" w:sz="4" w:space="0" w:color="auto"/>
            </w:tcBorders>
            <w:shd w:val="clear" w:color="auto" w:fill="auto"/>
            <w:tcMar>
              <w:top w:w="12" w:type="dxa"/>
              <w:left w:w="12" w:type="dxa"/>
              <w:bottom w:w="0" w:type="dxa"/>
              <w:right w:w="12" w:type="dxa"/>
            </w:tcMar>
            <w:vAlign w:val="center"/>
            <w:hideMark/>
          </w:tcPr>
          <w:p w14:paraId="309214D6" w14:textId="3559AA1D" w:rsidR="00CC719F" w:rsidRPr="0028534A" w:rsidRDefault="00CC719F" w:rsidP="00CC719F">
            <w:pPr>
              <w:spacing w:after="0" w:line="240" w:lineRule="auto"/>
              <w:jc w:val="center"/>
              <w:rPr>
                <w:rFonts w:ascii="Arial Narrow" w:hAnsi="Arial Narrow"/>
                <w:sz w:val="20"/>
              </w:rPr>
            </w:pPr>
            <w:r>
              <w:rPr>
                <w:rFonts w:ascii="Arial Narrow" w:hAnsi="Arial Narrow"/>
                <w:sz w:val="20"/>
              </w:rPr>
              <w:t>Costo de</w:t>
            </w:r>
            <w:r w:rsidRPr="0028534A">
              <w:rPr>
                <w:rFonts w:ascii="Arial Narrow" w:hAnsi="Arial Narrow"/>
                <w:sz w:val="20"/>
              </w:rPr>
              <w:t xml:space="preserve"> </w:t>
            </w:r>
            <w:r>
              <w:rPr>
                <w:rFonts w:ascii="Arial Narrow" w:hAnsi="Arial Narrow"/>
                <w:sz w:val="20"/>
              </w:rPr>
              <w:t>e</w:t>
            </w:r>
            <w:r w:rsidRPr="0028534A">
              <w:rPr>
                <w:rFonts w:ascii="Arial Narrow" w:hAnsi="Arial Narrow"/>
                <w:sz w:val="20"/>
              </w:rPr>
              <w:t>xplotación</w:t>
            </w:r>
          </w:p>
        </w:tc>
        <w:tc>
          <w:tcPr>
            <w:tcW w:w="1164" w:type="dxa"/>
            <w:tcBorders>
              <w:top w:val="single" w:sz="4" w:space="0" w:color="auto"/>
              <w:left w:val="single" w:sz="8" w:space="0" w:color="FFFFFF"/>
              <w:bottom w:val="single" w:sz="8" w:space="0" w:color="FFFFFF"/>
              <w:right w:val="single" w:sz="4" w:space="0" w:color="auto"/>
            </w:tcBorders>
            <w:shd w:val="clear" w:color="auto" w:fill="auto"/>
            <w:tcMar>
              <w:top w:w="12" w:type="dxa"/>
              <w:left w:w="12" w:type="dxa"/>
              <w:bottom w:w="0" w:type="dxa"/>
              <w:right w:w="12" w:type="dxa"/>
            </w:tcMar>
            <w:vAlign w:val="center"/>
            <w:hideMark/>
          </w:tcPr>
          <w:p w14:paraId="6F3624F0" w14:textId="4A1BB430" w:rsidR="00CC719F" w:rsidRPr="0028534A" w:rsidRDefault="00CC719F" w:rsidP="0054015F">
            <w:pPr>
              <w:spacing w:after="0" w:line="240" w:lineRule="auto"/>
              <w:jc w:val="center"/>
              <w:rPr>
                <w:rFonts w:ascii="Arial Narrow" w:hAnsi="Arial Narrow"/>
                <w:sz w:val="20"/>
              </w:rPr>
            </w:pPr>
            <w:r>
              <w:rPr>
                <w:rFonts w:ascii="Arial Narrow" w:hAnsi="Arial Narrow"/>
                <w:sz w:val="20"/>
              </w:rPr>
              <w:t>21,833</w:t>
            </w:r>
          </w:p>
        </w:tc>
      </w:tr>
      <w:tr w:rsidR="00CC719F" w:rsidRPr="0028534A" w14:paraId="3DAD27DD" w14:textId="77777777" w:rsidTr="00BE5EFC">
        <w:trPr>
          <w:trHeight w:val="20"/>
          <w:jc w:val="center"/>
        </w:trPr>
        <w:tc>
          <w:tcPr>
            <w:tcW w:w="1666" w:type="dxa"/>
            <w:tcBorders>
              <w:left w:val="single" w:sz="4" w:space="0" w:color="auto"/>
              <w:bottom w:val="single" w:sz="4" w:space="0" w:color="auto"/>
            </w:tcBorders>
            <w:shd w:val="clear" w:color="auto" w:fill="auto"/>
            <w:tcMar>
              <w:top w:w="12" w:type="dxa"/>
              <w:left w:w="12" w:type="dxa"/>
              <w:bottom w:w="0" w:type="dxa"/>
              <w:right w:w="12" w:type="dxa"/>
            </w:tcMar>
            <w:vAlign w:val="center"/>
            <w:hideMark/>
          </w:tcPr>
          <w:p w14:paraId="36E314B8" w14:textId="3EE6E13E" w:rsidR="00CC719F" w:rsidRPr="0028534A" w:rsidRDefault="00CC719F" w:rsidP="0054015F">
            <w:pPr>
              <w:spacing w:after="0" w:line="240" w:lineRule="auto"/>
              <w:jc w:val="both"/>
              <w:rPr>
                <w:rFonts w:ascii="Arial Narrow" w:hAnsi="Arial Narrow"/>
                <w:sz w:val="20"/>
              </w:rPr>
            </w:pPr>
            <w:r>
              <w:rPr>
                <w:rFonts w:ascii="Arial Narrow" w:hAnsi="Arial Narrow"/>
                <w:sz w:val="20"/>
              </w:rPr>
              <w:t xml:space="preserve"> Costo de a</w:t>
            </w:r>
            <w:r w:rsidRPr="0028534A">
              <w:rPr>
                <w:rFonts w:ascii="Arial Narrow" w:hAnsi="Arial Narrow"/>
                <w:sz w:val="20"/>
              </w:rPr>
              <w:t>ctivos</w:t>
            </w:r>
          </w:p>
        </w:tc>
        <w:tc>
          <w:tcPr>
            <w:tcW w:w="1164" w:type="dxa"/>
            <w:tcBorders>
              <w:top w:val="single" w:sz="8" w:space="0" w:color="FFFFFF"/>
              <w:left w:val="single" w:sz="8" w:space="0" w:color="FFFFFF"/>
              <w:bottom w:val="single" w:sz="4" w:space="0" w:color="auto"/>
              <w:right w:val="single" w:sz="4" w:space="0" w:color="auto"/>
            </w:tcBorders>
            <w:shd w:val="clear" w:color="auto" w:fill="auto"/>
            <w:tcMar>
              <w:top w:w="12" w:type="dxa"/>
              <w:left w:w="12" w:type="dxa"/>
              <w:bottom w:w="0" w:type="dxa"/>
              <w:right w:w="12" w:type="dxa"/>
            </w:tcMar>
            <w:vAlign w:val="center"/>
            <w:hideMark/>
          </w:tcPr>
          <w:p w14:paraId="409EA3F2" w14:textId="5A388D61" w:rsidR="00CC719F" w:rsidRPr="0028534A" w:rsidRDefault="00CC719F" w:rsidP="0054015F">
            <w:pPr>
              <w:spacing w:after="0" w:line="240" w:lineRule="auto"/>
              <w:jc w:val="center"/>
              <w:rPr>
                <w:rFonts w:ascii="Arial Narrow" w:hAnsi="Arial Narrow"/>
                <w:sz w:val="20"/>
              </w:rPr>
            </w:pPr>
            <w:r>
              <w:rPr>
                <w:rFonts w:ascii="Arial Narrow" w:hAnsi="Arial Narrow"/>
                <w:sz w:val="20"/>
              </w:rPr>
              <w:t>22, 854</w:t>
            </w:r>
          </w:p>
        </w:tc>
      </w:tr>
      <w:tr w:rsidR="00CC719F" w:rsidRPr="0028534A" w14:paraId="6E03DF13" w14:textId="77777777" w:rsidTr="00BE5EFC">
        <w:trPr>
          <w:trHeight w:val="20"/>
          <w:jc w:val="center"/>
        </w:trPr>
        <w:tc>
          <w:tcPr>
            <w:tcW w:w="1666" w:type="dxa"/>
            <w:tcBorders>
              <w:top w:val="single" w:sz="4" w:space="0" w:color="auto"/>
              <w:left w:val="single" w:sz="4" w:space="0" w:color="auto"/>
              <w:bottom w:val="single" w:sz="4" w:space="0" w:color="auto"/>
            </w:tcBorders>
            <w:shd w:val="clear" w:color="auto" w:fill="auto"/>
            <w:tcMar>
              <w:top w:w="12" w:type="dxa"/>
              <w:left w:w="12" w:type="dxa"/>
              <w:bottom w:w="0" w:type="dxa"/>
              <w:right w:w="12" w:type="dxa"/>
            </w:tcMar>
            <w:vAlign w:val="center"/>
            <w:hideMark/>
          </w:tcPr>
          <w:p w14:paraId="36DF248C" w14:textId="77777777" w:rsidR="00CC719F" w:rsidRPr="0028534A" w:rsidRDefault="00CC719F" w:rsidP="0054015F">
            <w:pPr>
              <w:spacing w:after="0" w:line="240" w:lineRule="auto"/>
              <w:jc w:val="both"/>
              <w:rPr>
                <w:rFonts w:ascii="Arial Narrow" w:hAnsi="Arial Narrow"/>
                <w:sz w:val="20"/>
              </w:rPr>
            </w:pPr>
            <w:r w:rsidRPr="0028534A">
              <w:rPr>
                <w:rFonts w:ascii="Arial Narrow" w:hAnsi="Arial Narrow"/>
                <w:b/>
                <w:bCs/>
                <w:sz w:val="20"/>
              </w:rPr>
              <w:t>Costos Total</w:t>
            </w:r>
          </w:p>
        </w:tc>
        <w:tc>
          <w:tcPr>
            <w:tcW w:w="1164" w:type="dxa"/>
            <w:tcBorders>
              <w:top w:val="single" w:sz="4" w:space="0" w:color="auto"/>
              <w:left w:val="single" w:sz="8" w:space="0" w:color="FFFFFF"/>
              <w:bottom w:val="single" w:sz="4" w:space="0" w:color="auto"/>
              <w:right w:val="single" w:sz="4" w:space="0" w:color="auto"/>
            </w:tcBorders>
            <w:shd w:val="clear" w:color="auto" w:fill="auto"/>
            <w:tcMar>
              <w:top w:w="12" w:type="dxa"/>
              <w:left w:w="12" w:type="dxa"/>
              <w:bottom w:w="0" w:type="dxa"/>
              <w:right w:w="12" w:type="dxa"/>
            </w:tcMar>
            <w:vAlign w:val="center"/>
            <w:hideMark/>
          </w:tcPr>
          <w:p w14:paraId="2989F1D7" w14:textId="4E9BF848" w:rsidR="00CC719F" w:rsidRPr="0028534A" w:rsidRDefault="00CC719F" w:rsidP="0054015F">
            <w:pPr>
              <w:spacing w:after="0" w:line="240" w:lineRule="auto"/>
              <w:jc w:val="center"/>
              <w:rPr>
                <w:rFonts w:ascii="Arial Narrow" w:hAnsi="Arial Narrow"/>
                <w:sz w:val="20"/>
              </w:rPr>
            </w:pPr>
            <w:r>
              <w:rPr>
                <w:rFonts w:ascii="Arial Narrow" w:hAnsi="Arial Narrow"/>
                <w:b/>
                <w:bCs/>
                <w:sz w:val="20"/>
              </w:rPr>
              <w:t>44, 687</w:t>
            </w:r>
          </w:p>
        </w:tc>
      </w:tr>
      <w:bookmarkEnd w:id="6"/>
    </w:tbl>
    <w:p w14:paraId="6711F100" w14:textId="77777777" w:rsidR="0054015F" w:rsidRPr="0054015F" w:rsidRDefault="0054015F" w:rsidP="0054015F">
      <w:pPr>
        <w:spacing w:after="0" w:line="240" w:lineRule="auto"/>
        <w:rPr>
          <w:rFonts w:ascii="Arial Narrow" w:hAnsi="Arial Narrow"/>
          <w:b/>
          <w:bCs/>
          <w:sz w:val="20"/>
        </w:rPr>
      </w:pPr>
    </w:p>
    <w:p w14:paraId="24758BC3" w14:textId="77777777" w:rsidR="00CC719F" w:rsidRDefault="00CC719F" w:rsidP="00CC719F"/>
    <w:p w14:paraId="26DF5713" w14:textId="77777777" w:rsidR="0028534A" w:rsidRPr="0028534A" w:rsidRDefault="0028534A" w:rsidP="0028534A">
      <w:pPr>
        <w:pStyle w:val="Ttulo2"/>
        <w:ind w:left="448" w:right="45" w:hanging="448"/>
        <w:rPr>
          <w:rFonts w:ascii="Arial Narrow" w:hAnsi="Arial Narrow"/>
          <w:sz w:val="22"/>
        </w:rPr>
      </w:pPr>
      <w:r>
        <w:rPr>
          <w:rFonts w:ascii="Arial Narrow" w:hAnsi="Arial Narrow"/>
          <w:sz w:val="22"/>
        </w:rPr>
        <w:lastRenderedPageBreak/>
        <w:t>Ajuste por eficiencia en costos</w:t>
      </w:r>
    </w:p>
    <w:p w14:paraId="611C33E4" w14:textId="77777777" w:rsidR="007F37D4" w:rsidRDefault="007F37D4" w:rsidP="007B199E">
      <w:pPr>
        <w:spacing w:after="0" w:line="240" w:lineRule="auto"/>
        <w:rPr>
          <w:rFonts w:ascii="Arial Narrow" w:hAnsi="Arial Narrow"/>
        </w:rPr>
      </w:pPr>
    </w:p>
    <w:p w14:paraId="11FF9051" w14:textId="72A87C22" w:rsidR="004F16FA" w:rsidRDefault="0028534A" w:rsidP="00E03597">
      <w:pPr>
        <w:spacing w:after="0" w:line="240" w:lineRule="auto"/>
        <w:jc w:val="both"/>
        <w:rPr>
          <w:rFonts w:ascii="Arial Narrow" w:hAnsi="Arial Narrow"/>
        </w:rPr>
      </w:pPr>
      <w:r>
        <w:rPr>
          <w:rFonts w:ascii="Arial Narrow" w:hAnsi="Arial Narrow"/>
        </w:rPr>
        <w:t xml:space="preserve">Con el propósito de fomentar el desarrollo eficiente del servicio público de Transmisión eléctrica, </w:t>
      </w:r>
      <w:r w:rsidR="004F16FA">
        <w:rPr>
          <w:rFonts w:ascii="Arial Narrow" w:hAnsi="Arial Narrow"/>
        </w:rPr>
        <w:t xml:space="preserve">se traza una trayectoria de eficiencia </w:t>
      </w:r>
      <w:r w:rsidR="00CC719F">
        <w:rPr>
          <w:rFonts w:ascii="Arial Narrow" w:hAnsi="Arial Narrow"/>
        </w:rPr>
        <w:t>mediante una</w:t>
      </w:r>
      <w:r w:rsidR="004F16FA">
        <w:rPr>
          <w:rFonts w:ascii="Arial Narrow" w:hAnsi="Arial Narrow"/>
        </w:rPr>
        <w:t xml:space="preserve"> reducción </w:t>
      </w:r>
      <w:r w:rsidR="00CC719F">
        <w:rPr>
          <w:rFonts w:ascii="Arial Narrow" w:hAnsi="Arial Narrow"/>
        </w:rPr>
        <w:t>de 1% anual en</w:t>
      </w:r>
      <w:r w:rsidR="004F16FA">
        <w:rPr>
          <w:rFonts w:ascii="Arial Narrow" w:hAnsi="Arial Narrow"/>
        </w:rPr>
        <w:t xml:space="preserve"> los ingresos totales para cubrir los costos</w:t>
      </w:r>
      <w:r w:rsidR="00E03597">
        <w:rPr>
          <w:rFonts w:ascii="Arial Narrow" w:hAnsi="Arial Narrow"/>
        </w:rPr>
        <w:t xml:space="preserve"> asociados a la prestación del servicio</w:t>
      </w:r>
      <w:r w:rsidR="00CC719F">
        <w:rPr>
          <w:rFonts w:ascii="Arial Narrow" w:hAnsi="Arial Narrow"/>
        </w:rPr>
        <w:t xml:space="preserve"> para 2017 y 2018. Es decir, el ingreso requerido a</w:t>
      </w:r>
      <w:r w:rsidR="00E03597">
        <w:rPr>
          <w:rFonts w:ascii="Arial Narrow" w:hAnsi="Arial Narrow"/>
        </w:rPr>
        <w:t xml:space="preserve">probado por la </w:t>
      </w:r>
      <w:r w:rsidR="005047A1">
        <w:rPr>
          <w:rFonts w:ascii="Arial Narrow" w:hAnsi="Arial Narrow"/>
        </w:rPr>
        <w:t xml:space="preserve">Comisión </w:t>
      </w:r>
      <w:r w:rsidR="00E03597">
        <w:rPr>
          <w:rFonts w:ascii="Arial Narrow" w:hAnsi="Arial Narrow"/>
        </w:rPr>
        <w:t xml:space="preserve">para 2016 es producto de la proyección descrita en los puntos </w:t>
      </w:r>
      <w:r w:rsidR="00E03597">
        <w:rPr>
          <w:rFonts w:ascii="Arial Narrow" w:hAnsi="Arial Narrow"/>
        </w:rPr>
        <w:fldChar w:fldCharType="begin"/>
      </w:r>
      <w:r w:rsidR="00E03597">
        <w:rPr>
          <w:rFonts w:ascii="Arial Narrow" w:hAnsi="Arial Narrow"/>
        </w:rPr>
        <w:instrText xml:space="preserve"> REF _Ref433735528 \r \h </w:instrText>
      </w:r>
      <w:r w:rsidR="00E03597">
        <w:rPr>
          <w:rFonts w:ascii="Arial Narrow" w:hAnsi="Arial Narrow"/>
        </w:rPr>
      </w:r>
      <w:r w:rsidR="00E03597">
        <w:rPr>
          <w:rFonts w:ascii="Arial Narrow" w:hAnsi="Arial Narrow"/>
        </w:rPr>
        <w:fldChar w:fldCharType="separate"/>
      </w:r>
      <w:r w:rsidR="00EE7C88">
        <w:rPr>
          <w:rFonts w:ascii="Arial Narrow" w:hAnsi="Arial Narrow"/>
        </w:rPr>
        <w:t>2.1</w:t>
      </w:r>
      <w:r w:rsidR="00E03597">
        <w:rPr>
          <w:rFonts w:ascii="Arial Narrow" w:hAnsi="Arial Narrow"/>
        </w:rPr>
        <w:fldChar w:fldCharType="end"/>
      </w:r>
      <w:r w:rsidR="00E03597">
        <w:rPr>
          <w:rFonts w:ascii="Arial Narrow" w:hAnsi="Arial Narrow"/>
        </w:rPr>
        <w:t xml:space="preserve">, </w:t>
      </w:r>
      <w:r w:rsidR="00E03597">
        <w:rPr>
          <w:rFonts w:ascii="Arial Narrow" w:hAnsi="Arial Narrow"/>
        </w:rPr>
        <w:fldChar w:fldCharType="begin"/>
      </w:r>
      <w:r w:rsidR="00E03597">
        <w:rPr>
          <w:rFonts w:ascii="Arial Narrow" w:hAnsi="Arial Narrow"/>
        </w:rPr>
        <w:instrText xml:space="preserve"> REF _Ref433735537 \r \h </w:instrText>
      </w:r>
      <w:r w:rsidR="00E03597">
        <w:rPr>
          <w:rFonts w:ascii="Arial Narrow" w:hAnsi="Arial Narrow"/>
        </w:rPr>
      </w:r>
      <w:r w:rsidR="00E03597">
        <w:rPr>
          <w:rFonts w:ascii="Arial Narrow" w:hAnsi="Arial Narrow"/>
        </w:rPr>
        <w:fldChar w:fldCharType="separate"/>
      </w:r>
      <w:r w:rsidR="00EE7C88">
        <w:rPr>
          <w:rFonts w:ascii="Arial Narrow" w:hAnsi="Arial Narrow"/>
        </w:rPr>
        <w:t>2.2</w:t>
      </w:r>
      <w:r w:rsidR="00E03597">
        <w:rPr>
          <w:rFonts w:ascii="Arial Narrow" w:hAnsi="Arial Narrow"/>
        </w:rPr>
        <w:fldChar w:fldCharType="end"/>
      </w:r>
      <w:r w:rsidR="00E03597">
        <w:rPr>
          <w:rFonts w:ascii="Arial Narrow" w:hAnsi="Arial Narrow"/>
        </w:rPr>
        <w:t xml:space="preserve"> y </w:t>
      </w:r>
      <w:r w:rsidR="00E03597">
        <w:rPr>
          <w:rFonts w:ascii="Arial Narrow" w:hAnsi="Arial Narrow"/>
        </w:rPr>
        <w:fldChar w:fldCharType="begin"/>
      </w:r>
      <w:r w:rsidR="00E03597">
        <w:rPr>
          <w:rFonts w:ascii="Arial Narrow" w:hAnsi="Arial Narrow"/>
        </w:rPr>
        <w:instrText xml:space="preserve"> REF _Ref433735532 \r \h </w:instrText>
      </w:r>
      <w:r w:rsidR="00E03597">
        <w:rPr>
          <w:rFonts w:ascii="Arial Narrow" w:hAnsi="Arial Narrow"/>
        </w:rPr>
      </w:r>
      <w:r w:rsidR="00E03597">
        <w:rPr>
          <w:rFonts w:ascii="Arial Narrow" w:hAnsi="Arial Narrow"/>
        </w:rPr>
        <w:fldChar w:fldCharType="separate"/>
      </w:r>
      <w:r w:rsidR="00EE7C88">
        <w:rPr>
          <w:rFonts w:ascii="Arial Narrow" w:hAnsi="Arial Narrow"/>
        </w:rPr>
        <w:t>2.3</w:t>
      </w:r>
      <w:r w:rsidR="00E03597">
        <w:rPr>
          <w:rFonts w:ascii="Arial Narrow" w:hAnsi="Arial Narrow"/>
        </w:rPr>
        <w:fldChar w:fldCharType="end"/>
      </w:r>
      <w:r w:rsidR="00E03597">
        <w:rPr>
          <w:rFonts w:ascii="Arial Narrow" w:hAnsi="Arial Narrow"/>
        </w:rPr>
        <w:t xml:space="preserve"> de este documento</w:t>
      </w:r>
      <w:r w:rsidR="006659D8">
        <w:rPr>
          <w:rFonts w:ascii="Arial Narrow" w:hAnsi="Arial Narrow"/>
        </w:rPr>
        <w:t xml:space="preserve">. </w:t>
      </w:r>
      <w:r w:rsidR="006F2F83">
        <w:rPr>
          <w:rFonts w:ascii="Arial Narrow" w:hAnsi="Arial Narrow"/>
        </w:rPr>
        <w:t>En</w:t>
      </w:r>
      <w:r w:rsidR="006659D8">
        <w:rPr>
          <w:rFonts w:ascii="Arial Narrow" w:hAnsi="Arial Narrow"/>
        </w:rPr>
        <w:t xml:space="preserve"> 2017 establecido es la proyección </w:t>
      </w:r>
      <w:r w:rsidR="006F2F83">
        <w:rPr>
          <w:rFonts w:ascii="Arial Narrow" w:hAnsi="Arial Narrow"/>
        </w:rPr>
        <w:t>menos la eficiencia del 1% y lo mismo para el IR de 2018.</w:t>
      </w:r>
    </w:p>
    <w:p w14:paraId="145028C7" w14:textId="77777777" w:rsidR="0028534A" w:rsidRPr="007B199E" w:rsidRDefault="004F16FA" w:rsidP="007B199E">
      <w:pPr>
        <w:spacing w:after="0" w:line="240" w:lineRule="auto"/>
        <w:rPr>
          <w:rFonts w:ascii="Arial Narrow" w:hAnsi="Arial Narrow"/>
        </w:rPr>
      </w:pPr>
      <w:r>
        <w:rPr>
          <w:rFonts w:ascii="Arial Narrow" w:hAnsi="Arial Narrow"/>
        </w:rPr>
        <w:t xml:space="preserve"> </w:t>
      </w:r>
    </w:p>
    <w:p w14:paraId="62391A5B" w14:textId="77777777" w:rsidR="00A06208" w:rsidRDefault="00A06208" w:rsidP="00A06208">
      <w:pPr>
        <w:pStyle w:val="Ttulo1"/>
        <w:spacing w:before="0" w:line="240" w:lineRule="auto"/>
        <w:ind w:left="431" w:hanging="431"/>
        <w:rPr>
          <w:rFonts w:ascii="Arial Narrow" w:hAnsi="Arial Narrow"/>
          <w:color w:val="000000" w:themeColor="text1"/>
          <w:sz w:val="22"/>
          <w:szCs w:val="22"/>
        </w:rPr>
      </w:pPr>
      <w:bookmarkStart w:id="7" w:name="_Ref433301041"/>
      <w:r w:rsidRPr="00A06208">
        <w:rPr>
          <w:rFonts w:ascii="Arial Narrow" w:hAnsi="Arial Narrow"/>
          <w:color w:val="000000" w:themeColor="text1"/>
          <w:sz w:val="22"/>
          <w:szCs w:val="22"/>
        </w:rPr>
        <w:t>Proyecciones de energía</w:t>
      </w:r>
      <w:bookmarkEnd w:id="7"/>
    </w:p>
    <w:p w14:paraId="43B4FA83" w14:textId="77777777" w:rsidR="00A06208" w:rsidRPr="00480A76" w:rsidRDefault="00A06208" w:rsidP="00480A76">
      <w:pPr>
        <w:spacing w:after="0" w:line="240" w:lineRule="auto"/>
        <w:rPr>
          <w:rFonts w:ascii="Arial Narrow" w:hAnsi="Arial Narrow"/>
        </w:rPr>
      </w:pPr>
    </w:p>
    <w:p w14:paraId="32202586" w14:textId="44AF1CD6" w:rsidR="00480A76" w:rsidRDefault="001B7D6C" w:rsidP="00190F31">
      <w:pPr>
        <w:spacing w:after="0" w:line="240" w:lineRule="auto"/>
        <w:jc w:val="both"/>
        <w:rPr>
          <w:rFonts w:ascii="Arial Narrow" w:hAnsi="Arial Narrow"/>
        </w:rPr>
      </w:pPr>
      <w:r>
        <w:rPr>
          <w:rFonts w:ascii="Arial Narrow" w:hAnsi="Arial Narrow"/>
        </w:rPr>
        <w:t xml:space="preserve">Con la finalidad de </w:t>
      </w:r>
      <w:r w:rsidRPr="004B71AF">
        <w:rPr>
          <w:rFonts w:ascii="Arial Narrow" w:hAnsi="Arial Narrow"/>
        </w:rPr>
        <w:t>hacer efectivos los principios de regulación</w:t>
      </w:r>
      <w:r>
        <w:rPr>
          <w:rFonts w:ascii="Arial Narrow" w:hAnsi="Arial Narrow"/>
        </w:rPr>
        <w:t xml:space="preserve"> </w:t>
      </w:r>
      <w:r w:rsidRPr="004B71AF">
        <w:rPr>
          <w:rFonts w:ascii="Arial Narrow" w:hAnsi="Arial Narrow"/>
        </w:rPr>
        <w:t>tarifaria de transparencia, estabilidad, factibilidad, eficiencia y predictibilidad en</w:t>
      </w:r>
      <w:r>
        <w:rPr>
          <w:rFonts w:ascii="Arial Narrow" w:hAnsi="Arial Narrow"/>
        </w:rPr>
        <w:t xml:space="preserve"> </w:t>
      </w:r>
      <w:r w:rsidRPr="004B71AF">
        <w:rPr>
          <w:rFonts w:ascii="Arial Narrow" w:hAnsi="Arial Narrow"/>
        </w:rPr>
        <w:t>los cargos para los usuarios, el d</w:t>
      </w:r>
      <w:r>
        <w:rPr>
          <w:rFonts w:ascii="Arial Narrow" w:hAnsi="Arial Narrow"/>
        </w:rPr>
        <w:t>iseño de las tarifas se realizó</w:t>
      </w:r>
      <w:r w:rsidRPr="004B71AF">
        <w:rPr>
          <w:rFonts w:ascii="Arial Narrow" w:hAnsi="Arial Narrow"/>
        </w:rPr>
        <w:t xml:space="preserve"> por medio de</w:t>
      </w:r>
      <w:r>
        <w:rPr>
          <w:rFonts w:ascii="Arial Narrow" w:hAnsi="Arial Narrow"/>
        </w:rPr>
        <w:t xml:space="preserve"> la</w:t>
      </w:r>
      <w:r w:rsidRPr="004B71AF">
        <w:rPr>
          <w:rFonts w:ascii="Arial Narrow" w:hAnsi="Arial Narrow"/>
        </w:rPr>
        <w:t xml:space="preserve"> modalidad de "estampilla postal"</w:t>
      </w:r>
      <w:r>
        <w:rPr>
          <w:rFonts w:ascii="Arial Narrow" w:hAnsi="Arial Narrow"/>
        </w:rPr>
        <w:t xml:space="preserve"> </w:t>
      </w:r>
      <w:r w:rsidRPr="001B7D6C">
        <w:rPr>
          <w:rFonts w:ascii="Arial Narrow" w:hAnsi="Arial Narrow"/>
        </w:rPr>
        <w:t>determinad</w:t>
      </w:r>
      <w:r>
        <w:rPr>
          <w:rFonts w:ascii="Arial Narrow" w:hAnsi="Arial Narrow"/>
        </w:rPr>
        <w:t xml:space="preserve">a con base en las inyecciones o </w:t>
      </w:r>
      <w:r w:rsidRPr="001B7D6C">
        <w:rPr>
          <w:rFonts w:ascii="Arial Narrow" w:hAnsi="Arial Narrow"/>
        </w:rPr>
        <w:t>extracciones de energía que cada generador</w:t>
      </w:r>
      <w:r w:rsidR="00F5150C">
        <w:rPr>
          <w:rFonts w:ascii="Arial Narrow" w:hAnsi="Arial Narrow"/>
        </w:rPr>
        <w:t xml:space="preserve"> o consumidor</w:t>
      </w:r>
      <w:r>
        <w:rPr>
          <w:rFonts w:ascii="Arial Narrow" w:hAnsi="Arial Narrow"/>
        </w:rPr>
        <w:t xml:space="preserve"> </w:t>
      </w:r>
      <w:r w:rsidRPr="001B7D6C">
        <w:rPr>
          <w:rFonts w:ascii="Arial Narrow" w:hAnsi="Arial Narrow"/>
        </w:rPr>
        <w:t>hace de la RNT</w:t>
      </w:r>
      <w:r>
        <w:rPr>
          <w:rFonts w:ascii="Arial Narrow" w:hAnsi="Arial Narrow"/>
        </w:rPr>
        <w:t>.</w:t>
      </w:r>
      <w:r w:rsidR="00771D12">
        <w:rPr>
          <w:rFonts w:ascii="Arial Narrow" w:hAnsi="Arial Narrow"/>
        </w:rPr>
        <w:t xml:space="preserve"> </w:t>
      </w:r>
      <w:r w:rsidR="006F2F83">
        <w:rPr>
          <w:rFonts w:ascii="Arial Narrow" w:hAnsi="Arial Narrow"/>
        </w:rPr>
        <w:t xml:space="preserve">Así, la energía que se considera para el cálculo de las tarifas de Transmisión, corresponde a la energía </w:t>
      </w:r>
      <w:r w:rsidR="00480A76" w:rsidRPr="00480A76">
        <w:rPr>
          <w:rFonts w:ascii="Arial Narrow" w:hAnsi="Arial Narrow"/>
        </w:rPr>
        <w:t>recibida en Transmisión por los generadores</w:t>
      </w:r>
      <w:r w:rsidR="004B71AF">
        <w:rPr>
          <w:rFonts w:ascii="Arial Narrow" w:hAnsi="Arial Narrow"/>
        </w:rPr>
        <w:t xml:space="preserve"> (energía inyectada a la red)</w:t>
      </w:r>
      <w:r w:rsidR="00480A76" w:rsidRPr="00480A76">
        <w:rPr>
          <w:rFonts w:ascii="Arial Narrow" w:hAnsi="Arial Narrow"/>
        </w:rPr>
        <w:t xml:space="preserve"> y ventas al consumidor</w:t>
      </w:r>
      <w:r w:rsidR="004B71AF">
        <w:rPr>
          <w:rFonts w:ascii="Arial Narrow" w:hAnsi="Arial Narrow"/>
        </w:rPr>
        <w:t xml:space="preserve"> (energía extraída de la red)</w:t>
      </w:r>
      <w:r w:rsidR="00480A76" w:rsidRPr="00480A76">
        <w:rPr>
          <w:rFonts w:ascii="Arial Narrow" w:hAnsi="Arial Narrow"/>
        </w:rPr>
        <w:t>.</w:t>
      </w:r>
      <w:r w:rsidR="00480A76">
        <w:rPr>
          <w:rFonts w:ascii="Arial Narrow" w:hAnsi="Arial Narrow"/>
        </w:rPr>
        <w:t xml:space="preserve"> </w:t>
      </w:r>
      <w:r w:rsidR="006F2F83">
        <w:rPr>
          <w:rFonts w:ascii="Arial Narrow" w:hAnsi="Arial Narrow"/>
        </w:rPr>
        <w:t>Para el caso de los generadores la energía es:</w:t>
      </w:r>
    </w:p>
    <w:p w14:paraId="06AD3316" w14:textId="77777777" w:rsidR="006F2F83" w:rsidRDefault="006F2F83" w:rsidP="00190F31">
      <w:pPr>
        <w:spacing w:after="0" w:line="240" w:lineRule="auto"/>
        <w:jc w:val="both"/>
        <w:rPr>
          <w:rFonts w:ascii="Arial Narrow" w:hAnsi="Arial Narrow"/>
        </w:rPr>
      </w:pPr>
    </w:p>
    <w:p w14:paraId="0D516570" w14:textId="0CF21A95" w:rsidR="006F2F83" w:rsidRDefault="006F2F83" w:rsidP="006F2F83">
      <w:pPr>
        <w:pStyle w:val="Descripcin"/>
        <w:jc w:val="center"/>
        <w:rPr>
          <w:sz w:val="20"/>
        </w:rPr>
      </w:pPr>
      <w:bookmarkStart w:id="8" w:name="_Ref433292492"/>
      <w:r w:rsidRPr="00EC2A55">
        <w:rPr>
          <w:sz w:val="20"/>
        </w:rPr>
        <w:t xml:space="preserve">Tabla </w:t>
      </w:r>
      <w:r w:rsidRPr="00EC2A55">
        <w:rPr>
          <w:sz w:val="20"/>
        </w:rPr>
        <w:fldChar w:fldCharType="begin"/>
      </w:r>
      <w:r w:rsidRPr="00EC2A55">
        <w:rPr>
          <w:sz w:val="20"/>
        </w:rPr>
        <w:instrText xml:space="preserve"> SEQ Tabla \* ARABIC </w:instrText>
      </w:r>
      <w:r w:rsidRPr="00EC2A55">
        <w:rPr>
          <w:sz w:val="20"/>
        </w:rPr>
        <w:fldChar w:fldCharType="separate"/>
      </w:r>
      <w:r w:rsidR="00EE7C88">
        <w:rPr>
          <w:noProof/>
          <w:sz w:val="20"/>
        </w:rPr>
        <w:t>4</w:t>
      </w:r>
      <w:r w:rsidRPr="00EC2A55">
        <w:rPr>
          <w:sz w:val="20"/>
        </w:rPr>
        <w:fldChar w:fldCharType="end"/>
      </w:r>
      <w:bookmarkEnd w:id="8"/>
      <w:r w:rsidRPr="00EC2A55">
        <w:rPr>
          <w:sz w:val="20"/>
        </w:rPr>
        <w:t xml:space="preserve">. </w:t>
      </w:r>
      <w:r>
        <w:rPr>
          <w:sz w:val="20"/>
        </w:rPr>
        <w:t>Proyección de la e</w:t>
      </w:r>
      <w:r w:rsidRPr="00EC2A55">
        <w:rPr>
          <w:sz w:val="20"/>
        </w:rPr>
        <w:t xml:space="preserve">nergía </w:t>
      </w:r>
      <w:r>
        <w:rPr>
          <w:sz w:val="20"/>
        </w:rPr>
        <w:t xml:space="preserve">inyectada por los generadores a la </w:t>
      </w:r>
      <w:r w:rsidR="008658C6">
        <w:rPr>
          <w:sz w:val="20"/>
        </w:rPr>
        <w:t>RNT</w:t>
      </w:r>
    </w:p>
    <w:tbl>
      <w:tblPr>
        <w:tblW w:w="4248" w:type="dxa"/>
        <w:jc w:val="center"/>
        <w:tblCellMar>
          <w:left w:w="0" w:type="dxa"/>
          <w:right w:w="0" w:type="dxa"/>
        </w:tblCellMar>
        <w:tblLook w:val="0600" w:firstRow="0" w:lastRow="0" w:firstColumn="0" w:lastColumn="0" w:noHBand="1" w:noVBand="1"/>
      </w:tblPr>
      <w:tblGrid>
        <w:gridCol w:w="1530"/>
        <w:gridCol w:w="2718"/>
      </w:tblGrid>
      <w:tr w:rsidR="00480A76" w:rsidRPr="006659D8" w14:paraId="78FE735A" w14:textId="77777777" w:rsidTr="00BE5EFC">
        <w:trPr>
          <w:trHeight w:val="20"/>
          <w:jc w:val="center"/>
        </w:trPr>
        <w:tc>
          <w:tcPr>
            <w:tcW w:w="153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078C8A70" w14:textId="77777777" w:rsidR="00480A76" w:rsidRPr="006659D8" w:rsidRDefault="00480A76" w:rsidP="00480A76">
            <w:pPr>
              <w:spacing w:after="0" w:line="240" w:lineRule="auto"/>
              <w:jc w:val="center"/>
              <w:rPr>
                <w:rFonts w:ascii="Arial Narrow" w:hAnsi="Arial Narrow"/>
                <w:color w:val="FFFFFF" w:themeColor="background1"/>
                <w:sz w:val="20"/>
              </w:rPr>
            </w:pPr>
            <w:r w:rsidRPr="006659D8">
              <w:rPr>
                <w:rFonts w:ascii="Arial Narrow" w:hAnsi="Arial Narrow"/>
                <w:b/>
                <w:bCs/>
                <w:color w:val="FFFFFF" w:themeColor="background1"/>
                <w:sz w:val="20"/>
              </w:rPr>
              <w:t>Nivel de tensión</w:t>
            </w:r>
          </w:p>
        </w:tc>
        <w:tc>
          <w:tcPr>
            <w:tcW w:w="2718"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35A794A6" w14:textId="77777777" w:rsidR="00480A76" w:rsidRPr="006659D8" w:rsidRDefault="00480A76" w:rsidP="00480A76">
            <w:pPr>
              <w:spacing w:after="0" w:line="240" w:lineRule="auto"/>
              <w:jc w:val="center"/>
              <w:rPr>
                <w:rFonts w:ascii="Arial Narrow" w:hAnsi="Arial Narrow"/>
                <w:color w:val="FFFFFF" w:themeColor="background1"/>
                <w:sz w:val="20"/>
              </w:rPr>
            </w:pPr>
            <w:r w:rsidRPr="006659D8">
              <w:rPr>
                <w:rFonts w:ascii="Arial Narrow" w:hAnsi="Arial Narrow"/>
                <w:b/>
                <w:bCs/>
                <w:color w:val="FFFFFF" w:themeColor="background1"/>
                <w:sz w:val="20"/>
              </w:rPr>
              <w:t xml:space="preserve">Energía recibida por transmisión </w:t>
            </w:r>
            <w:r w:rsidRPr="006659D8">
              <w:rPr>
                <w:rFonts w:ascii="Arial Narrow" w:hAnsi="Arial Narrow"/>
                <w:b/>
                <w:bCs/>
                <w:color w:val="FFFFFF" w:themeColor="background1"/>
                <w:sz w:val="18"/>
              </w:rPr>
              <w:t>(</w:t>
            </w:r>
            <w:proofErr w:type="spellStart"/>
            <w:r w:rsidRPr="006659D8">
              <w:rPr>
                <w:rFonts w:ascii="Arial Narrow" w:hAnsi="Arial Narrow"/>
                <w:b/>
                <w:bCs/>
                <w:color w:val="FFFFFF" w:themeColor="background1"/>
                <w:sz w:val="18"/>
              </w:rPr>
              <w:t>GWh</w:t>
            </w:r>
            <w:proofErr w:type="spellEnd"/>
            <w:r w:rsidRPr="006659D8">
              <w:rPr>
                <w:rFonts w:ascii="Arial Narrow" w:hAnsi="Arial Narrow"/>
                <w:b/>
                <w:bCs/>
                <w:color w:val="FFFFFF" w:themeColor="background1"/>
                <w:sz w:val="18"/>
              </w:rPr>
              <w:t>)</w:t>
            </w:r>
          </w:p>
        </w:tc>
      </w:tr>
      <w:tr w:rsidR="00480A76" w:rsidRPr="006659D8" w14:paraId="5F4A3CDD" w14:textId="77777777" w:rsidTr="00BE5EFC">
        <w:trPr>
          <w:trHeight w:val="20"/>
          <w:jc w:val="center"/>
        </w:trPr>
        <w:tc>
          <w:tcPr>
            <w:tcW w:w="153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549C35BC" w14:textId="77777777" w:rsidR="00480A76" w:rsidRPr="006659D8" w:rsidRDefault="00480A76" w:rsidP="00480A76">
            <w:pPr>
              <w:spacing w:after="0" w:line="240" w:lineRule="auto"/>
              <w:rPr>
                <w:rFonts w:ascii="Arial Narrow" w:hAnsi="Arial Narrow"/>
                <w:sz w:val="20"/>
              </w:rPr>
            </w:pPr>
            <w:r w:rsidRPr="006659D8">
              <w:rPr>
                <w:rFonts w:ascii="Arial Narrow" w:hAnsi="Arial Narrow"/>
                <w:sz w:val="20"/>
              </w:rPr>
              <w:t>Tensión ≥ 220 kV</w:t>
            </w:r>
          </w:p>
        </w:tc>
        <w:tc>
          <w:tcPr>
            <w:tcW w:w="2718"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07C658D3" w14:textId="77777777" w:rsidR="00480A76" w:rsidRPr="006659D8" w:rsidRDefault="00480A76" w:rsidP="00480A76">
            <w:pPr>
              <w:spacing w:after="0" w:line="240" w:lineRule="auto"/>
              <w:jc w:val="center"/>
              <w:rPr>
                <w:rFonts w:ascii="Arial Narrow" w:hAnsi="Arial Narrow"/>
                <w:sz w:val="20"/>
              </w:rPr>
            </w:pPr>
            <w:r w:rsidRPr="006659D8">
              <w:rPr>
                <w:rFonts w:ascii="Arial Narrow" w:hAnsi="Arial Narrow"/>
                <w:sz w:val="20"/>
              </w:rPr>
              <w:t>240,274</w:t>
            </w:r>
          </w:p>
        </w:tc>
      </w:tr>
      <w:tr w:rsidR="00480A76" w:rsidRPr="006659D8" w14:paraId="19FA025C" w14:textId="77777777" w:rsidTr="00BE5EFC">
        <w:trPr>
          <w:trHeight w:val="20"/>
          <w:jc w:val="center"/>
        </w:trPr>
        <w:tc>
          <w:tcPr>
            <w:tcW w:w="153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E0DDC8D" w14:textId="77777777" w:rsidR="00480A76" w:rsidRPr="006659D8" w:rsidRDefault="007E4666" w:rsidP="00480A76">
            <w:pPr>
              <w:spacing w:after="0" w:line="240" w:lineRule="auto"/>
              <w:rPr>
                <w:rFonts w:ascii="Arial Narrow" w:hAnsi="Arial Narrow"/>
                <w:sz w:val="20"/>
              </w:rPr>
            </w:pPr>
            <w:r>
              <w:rPr>
                <w:rFonts w:ascii="Arial Narrow" w:hAnsi="Arial Narrow"/>
                <w:sz w:val="20"/>
              </w:rPr>
              <w:t>Tensión &lt;</w:t>
            </w:r>
            <w:r w:rsidR="00480A76" w:rsidRPr="006659D8">
              <w:rPr>
                <w:rFonts w:ascii="Arial Narrow" w:hAnsi="Arial Narrow"/>
                <w:sz w:val="20"/>
              </w:rPr>
              <w:t xml:space="preserve"> 220 kV</w:t>
            </w:r>
          </w:p>
        </w:tc>
        <w:tc>
          <w:tcPr>
            <w:tcW w:w="27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D2E723" w14:textId="77777777" w:rsidR="00480A76" w:rsidRPr="006659D8" w:rsidRDefault="00480A76" w:rsidP="00480A76">
            <w:pPr>
              <w:spacing w:after="0" w:line="240" w:lineRule="auto"/>
              <w:jc w:val="center"/>
              <w:rPr>
                <w:rFonts w:ascii="Arial Narrow" w:hAnsi="Arial Narrow"/>
                <w:sz w:val="20"/>
              </w:rPr>
            </w:pPr>
            <w:r w:rsidRPr="006659D8">
              <w:rPr>
                <w:rFonts w:ascii="Arial Narrow" w:hAnsi="Arial Narrow"/>
                <w:sz w:val="20"/>
              </w:rPr>
              <w:t>15,604</w:t>
            </w:r>
          </w:p>
        </w:tc>
      </w:tr>
      <w:tr w:rsidR="00480A76" w:rsidRPr="006659D8" w14:paraId="0C1B3A22" w14:textId="77777777" w:rsidTr="00BE5EFC">
        <w:trPr>
          <w:trHeight w:val="20"/>
          <w:jc w:val="center"/>
        </w:trPr>
        <w:tc>
          <w:tcPr>
            <w:tcW w:w="15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393254" w14:textId="77777777" w:rsidR="00480A76" w:rsidRPr="006659D8" w:rsidRDefault="00480A76" w:rsidP="00480A76">
            <w:pPr>
              <w:spacing w:after="0" w:line="240" w:lineRule="auto"/>
              <w:rPr>
                <w:rFonts w:ascii="Arial Narrow" w:hAnsi="Arial Narrow"/>
                <w:b/>
                <w:sz w:val="20"/>
              </w:rPr>
            </w:pPr>
            <w:r w:rsidRPr="006659D8">
              <w:rPr>
                <w:rFonts w:ascii="Arial Narrow" w:hAnsi="Arial Narrow"/>
                <w:b/>
                <w:sz w:val="20"/>
              </w:rPr>
              <w:t>Total</w:t>
            </w:r>
          </w:p>
        </w:tc>
        <w:tc>
          <w:tcPr>
            <w:tcW w:w="27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84C8F1D" w14:textId="77777777" w:rsidR="00480A76" w:rsidRPr="006659D8" w:rsidRDefault="00480A76" w:rsidP="00480A76">
            <w:pPr>
              <w:spacing w:after="0" w:line="240" w:lineRule="auto"/>
              <w:jc w:val="center"/>
              <w:rPr>
                <w:rFonts w:ascii="Arial Narrow" w:hAnsi="Arial Narrow"/>
                <w:b/>
                <w:sz w:val="20"/>
              </w:rPr>
            </w:pPr>
            <w:r w:rsidRPr="006659D8">
              <w:rPr>
                <w:rFonts w:ascii="Arial Narrow" w:hAnsi="Arial Narrow"/>
                <w:b/>
                <w:sz w:val="20"/>
              </w:rPr>
              <w:t>255,878</w:t>
            </w:r>
          </w:p>
        </w:tc>
      </w:tr>
    </w:tbl>
    <w:p w14:paraId="768D58F6" w14:textId="77777777" w:rsidR="00FA659C" w:rsidRDefault="00FA659C" w:rsidP="00EC2A55">
      <w:pPr>
        <w:spacing w:after="0" w:line="240" w:lineRule="auto"/>
        <w:jc w:val="both"/>
        <w:rPr>
          <w:rFonts w:ascii="Arial Narrow" w:hAnsi="Arial Narrow"/>
        </w:rPr>
      </w:pPr>
    </w:p>
    <w:p w14:paraId="279ABEA5" w14:textId="3EF27BA1" w:rsidR="00EC2A55" w:rsidRDefault="00EC2A55" w:rsidP="00EC2A55">
      <w:pPr>
        <w:spacing w:after="0" w:line="240" w:lineRule="auto"/>
        <w:jc w:val="both"/>
        <w:rPr>
          <w:rFonts w:ascii="Arial Narrow" w:hAnsi="Arial Narrow"/>
        </w:rPr>
      </w:pPr>
      <w:r w:rsidRPr="00EC2A55">
        <w:rPr>
          <w:rFonts w:ascii="Arial Narrow" w:hAnsi="Arial Narrow"/>
        </w:rPr>
        <w:t xml:space="preserve">Las cifras contenidas en la </w:t>
      </w:r>
      <w:r w:rsidRPr="00EC2A55">
        <w:rPr>
          <w:rFonts w:ascii="Arial Narrow" w:hAnsi="Arial Narrow"/>
        </w:rPr>
        <w:fldChar w:fldCharType="begin"/>
      </w:r>
      <w:r w:rsidRPr="00EC2A55">
        <w:rPr>
          <w:rFonts w:ascii="Arial Narrow" w:hAnsi="Arial Narrow"/>
        </w:rPr>
        <w:instrText xml:space="preserve"> REF _Ref433292492 \h  \* MERGEFORMAT </w:instrText>
      </w:r>
      <w:r w:rsidRPr="00EC2A55">
        <w:rPr>
          <w:rFonts w:ascii="Arial Narrow" w:hAnsi="Arial Narrow"/>
        </w:rPr>
      </w:r>
      <w:r w:rsidRPr="00EC2A55">
        <w:rPr>
          <w:rFonts w:ascii="Arial Narrow" w:hAnsi="Arial Narrow"/>
        </w:rPr>
        <w:fldChar w:fldCharType="separate"/>
      </w:r>
      <w:r w:rsidR="00EE7C88" w:rsidRPr="00EE7C88">
        <w:rPr>
          <w:rFonts w:ascii="Arial Narrow" w:hAnsi="Arial Narrow"/>
        </w:rPr>
        <w:t xml:space="preserve">Tabla </w:t>
      </w:r>
      <w:r w:rsidR="00EE7C88" w:rsidRPr="00EE7C88">
        <w:rPr>
          <w:rFonts w:ascii="Arial Narrow" w:hAnsi="Arial Narrow"/>
          <w:noProof/>
        </w:rPr>
        <w:t>4</w:t>
      </w:r>
      <w:r w:rsidRPr="00EC2A55">
        <w:rPr>
          <w:rFonts w:ascii="Arial Narrow" w:hAnsi="Arial Narrow"/>
        </w:rPr>
        <w:fldChar w:fldCharType="end"/>
      </w:r>
      <w:r w:rsidRPr="00EC2A55">
        <w:rPr>
          <w:rFonts w:ascii="Arial Narrow" w:hAnsi="Arial Narrow"/>
        </w:rPr>
        <w:t xml:space="preserve"> corresponden a la energía </w:t>
      </w:r>
      <w:r w:rsidR="00AE3914">
        <w:rPr>
          <w:rFonts w:ascii="Arial Narrow" w:hAnsi="Arial Narrow"/>
        </w:rPr>
        <w:t>inyectada</w:t>
      </w:r>
      <w:r w:rsidR="00AE3914" w:rsidRPr="00EC2A55">
        <w:rPr>
          <w:rFonts w:ascii="Arial Narrow" w:hAnsi="Arial Narrow"/>
        </w:rPr>
        <w:t xml:space="preserve"> </w:t>
      </w:r>
      <w:r w:rsidRPr="00EC2A55">
        <w:rPr>
          <w:rFonts w:ascii="Arial Narrow" w:hAnsi="Arial Narrow"/>
        </w:rPr>
        <w:t xml:space="preserve">por la CFE, </w:t>
      </w:r>
      <w:r w:rsidR="00AE3914">
        <w:rPr>
          <w:rFonts w:ascii="Arial Narrow" w:hAnsi="Arial Narrow"/>
        </w:rPr>
        <w:t xml:space="preserve">así como por las modalidades de generación incluidas en la </w:t>
      </w:r>
      <w:r w:rsidR="005047A1">
        <w:rPr>
          <w:rFonts w:ascii="Arial Narrow" w:hAnsi="Arial Narrow"/>
        </w:rPr>
        <w:t xml:space="preserve">derogada </w:t>
      </w:r>
      <w:r w:rsidR="00AE3914">
        <w:rPr>
          <w:rFonts w:ascii="Arial Narrow" w:hAnsi="Arial Narrow"/>
        </w:rPr>
        <w:t>Ley del Servicio Público de Energía Eléctrica (</w:t>
      </w:r>
      <w:r w:rsidRPr="00EC2A55">
        <w:rPr>
          <w:rFonts w:ascii="Arial Narrow" w:hAnsi="Arial Narrow"/>
        </w:rPr>
        <w:t>productores independientes</w:t>
      </w:r>
      <w:r w:rsidR="00AE3914">
        <w:rPr>
          <w:rFonts w:ascii="Arial Narrow" w:hAnsi="Arial Narrow"/>
        </w:rPr>
        <w:t xml:space="preserve"> de energía,</w:t>
      </w:r>
      <w:r w:rsidRPr="00EC2A55">
        <w:rPr>
          <w:rFonts w:ascii="Arial Narrow" w:hAnsi="Arial Narrow"/>
        </w:rPr>
        <w:t xml:space="preserve"> </w:t>
      </w:r>
      <w:proofErr w:type="spellStart"/>
      <w:r w:rsidRPr="00EC2A55">
        <w:rPr>
          <w:rFonts w:ascii="Arial Narrow" w:hAnsi="Arial Narrow"/>
        </w:rPr>
        <w:t>autoabastecedores</w:t>
      </w:r>
      <w:proofErr w:type="spellEnd"/>
      <w:r w:rsidR="00AE3914">
        <w:rPr>
          <w:rFonts w:ascii="Arial Narrow" w:hAnsi="Arial Narrow"/>
        </w:rPr>
        <w:t>, importadores, exportadores, cogeneradores, pequeños productores)</w:t>
      </w:r>
      <w:r w:rsidRPr="00EC2A55">
        <w:rPr>
          <w:rFonts w:ascii="Arial Narrow" w:hAnsi="Arial Narrow"/>
        </w:rPr>
        <w:t xml:space="preserve">, </w:t>
      </w:r>
      <w:r>
        <w:rPr>
          <w:rFonts w:ascii="Arial Narrow" w:hAnsi="Arial Narrow"/>
        </w:rPr>
        <w:t>r</w:t>
      </w:r>
      <w:r w:rsidRPr="00EC2A55">
        <w:rPr>
          <w:rFonts w:ascii="Arial Narrow" w:hAnsi="Arial Narrow"/>
        </w:rPr>
        <w:t>ecibid</w:t>
      </w:r>
      <w:r w:rsidR="00AE3914">
        <w:rPr>
          <w:rFonts w:ascii="Arial Narrow" w:hAnsi="Arial Narrow"/>
        </w:rPr>
        <w:t>os</w:t>
      </w:r>
      <w:r w:rsidRPr="00EC2A55">
        <w:rPr>
          <w:rFonts w:ascii="Arial Narrow" w:hAnsi="Arial Narrow"/>
        </w:rPr>
        <w:t xml:space="preserve"> </w:t>
      </w:r>
      <w:r w:rsidR="00AE3914">
        <w:rPr>
          <w:rFonts w:ascii="Arial Narrow" w:hAnsi="Arial Narrow"/>
        </w:rPr>
        <w:t>a nivel transmisión</w:t>
      </w:r>
      <w:r>
        <w:rPr>
          <w:rFonts w:ascii="Arial Narrow" w:hAnsi="Arial Narrow"/>
        </w:rPr>
        <w:t>. En el caso de los consumidores s</w:t>
      </w:r>
      <w:r w:rsidR="006F2F83">
        <w:rPr>
          <w:rFonts w:ascii="Arial Narrow" w:hAnsi="Arial Narrow"/>
        </w:rPr>
        <w:t xml:space="preserve">e toma la proyección de ventas </w:t>
      </w:r>
      <w:r>
        <w:rPr>
          <w:rFonts w:ascii="Arial Narrow" w:hAnsi="Arial Narrow"/>
        </w:rPr>
        <w:t>realizada por la CFE</w:t>
      </w:r>
      <w:r w:rsidR="007B199E">
        <w:rPr>
          <w:rFonts w:ascii="Arial Narrow" w:hAnsi="Arial Narrow"/>
        </w:rPr>
        <w:t>, para 2016.</w:t>
      </w:r>
    </w:p>
    <w:p w14:paraId="6CF72271" w14:textId="77777777" w:rsidR="006F2F83" w:rsidRDefault="006F2F83" w:rsidP="006F2F83">
      <w:pPr>
        <w:pStyle w:val="Descripcin"/>
        <w:jc w:val="center"/>
        <w:rPr>
          <w:sz w:val="20"/>
        </w:rPr>
      </w:pPr>
    </w:p>
    <w:p w14:paraId="76C48A36" w14:textId="77777777" w:rsidR="006F2F83" w:rsidRDefault="006F2F83" w:rsidP="006F2F83">
      <w:pPr>
        <w:pStyle w:val="Descripcin"/>
        <w:jc w:val="center"/>
        <w:rPr>
          <w:sz w:val="20"/>
        </w:rPr>
      </w:pPr>
      <w:r w:rsidRPr="007B199E">
        <w:rPr>
          <w:sz w:val="20"/>
        </w:rPr>
        <w:t xml:space="preserve">Tabla </w:t>
      </w:r>
      <w:r w:rsidRPr="007B199E">
        <w:rPr>
          <w:sz w:val="20"/>
        </w:rPr>
        <w:fldChar w:fldCharType="begin"/>
      </w:r>
      <w:r w:rsidRPr="007B199E">
        <w:rPr>
          <w:sz w:val="20"/>
        </w:rPr>
        <w:instrText xml:space="preserve"> SEQ Tabla \* ARABIC </w:instrText>
      </w:r>
      <w:r w:rsidRPr="007B199E">
        <w:rPr>
          <w:sz w:val="20"/>
        </w:rPr>
        <w:fldChar w:fldCharType="separate"/>
      </w:r>
      <w:r w:rsidR="00EE7C88">
        <w:rPr>
          <w:noProof/>
          <w:sz w:val="20"/>
        </w:rPr>
        <w:t>5</w:t>
      </w:r>
      <w:r w:rsidRPr="007B199E">
        <w:rPr>
          <w:sz w:val="20"/>
        </w:rPr>
        <w:fldChar w:fldCharType="end"/>
      </w:r>
      <w:r w:rsidRPr="007B199E">
        <w:rPr>
          <w:sz w:val="20"/>
        </w:rPr>
        <w:t>. Proyección de ventas para 2016</w:t>
      </w:r>
    </w:p>
    <w:tbl>
      <w:tblPr>
        <w:tblW w:w="4106" w:type="dxa"/>
        <w:jc w:val="center"/>
        <w:tblCellMar>
          <w:left w:w="0" w:type="dxa"/>
          <w:right w:w="0" w:type="dxa"/>
        </w:tblCellMar>
        <w:tblLook w:val="0600" w:firstRow="0" w:lastRow="0" w:firstColumn="0" w:lastColumn="0" w:noHBand="1" w:noVBand="1"/>
      </w:tblPr>
      <w:tblGrid>
        <w:gridCol w:w="1440"/>
        <w:gridCol w:w="2666"/>
      </w:tblGrid>
      <w:tr w:rsidR="007B199E" w:rsidRPr="006659D8" w14:paraId="03F54A30" w14:textId="77777777" w:rsidTr="00BE5EFC">
        <w:trPr>
          <w:trHeight w:val="20"/>
          <w:jc w:val="center"/>
        </w:trPr>
        <w:tc>
          <w:tcPr>
            <w:tcW w:w="144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1FD953D6" w14:textId="77777777" w:rsidR="007B199E" w:rsidRPr="006659D8" w:rsidRDefault="007B199E" w:rsidP="007B199E">
            <w:pPr>
              <w:spacing w:after="0" w:line="240" w:lineRule="auto"/>
              <w:jc w:val="center"/>
              <w:rPr>
                <w:rFonts w:ascii="Arial Narrow" w:hAnsi="Arial Narrow"/>
                <w:color w:val="FFFFFF" w:themeColor="background1"/>
                <w:sz w:val="20"/>
                <w:szCs w:val="16"/>
              </w:rPr>
            </w:pPr>
            <w:r w:rsidRPr="006659D8">
              <w:rPr>
                <w:rFonts w:ascii="Arial Narrow" w:hAnsi="Arial Narrow"/>
                <w:b/>
                <w:bCs/>
                <w:color w:val="FFFFFF" w:themeColor="background1"/>
                <w:sz w:val="20"/>
                <w:szCs w:val="16"/>
              </w:rPr>
              <w:t>Nivel de tensión</w:t>
            </w:r>
          </w:p>
        </w:tc>
        <w:tc>
          <w:tcPr>
            <w:tcW w:w="2666"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57E74E91" w14:textId="77777777" w:rsidR="00BE5EFC" w:rsidRDefault="007B199E" w:rsidP="007B199E">
            <w:pPr>
              <w:spacing w:after="0" w:line="240" w:lineRule="auto"/>
              <w:jc w:val="center"/>
              <w:rPr>
                <w:rFonts w:ascii="Arial Narrow" w:hAnsi="Arial Narrow"/>
                <w:b/>
                <w:bCs/>
                <w:color w:val="FFFFFF" w:themeColor="background1"/>
                <w:sz w:val="20"/>
                <w:szCs w:val="16"/>
              </w:rPr>
            </w:pPr>
            <w:r w:rsidRPr="006659D8">
              <w:rPr>
                <w:rFonts w:ascii="Arial Narrow" w:hAnsi="Arial Narrow"/>
                <w:b/>
                <w:bCs/>
                <w:color w:val="FFFFFF" w:themeColor="background1"/>
                <w:sz w:val="20"/>
                <w:szCs w:val="16"/>
              </w:rPr>
              <w:t xml:space="preserve">Ventas a consumidores </w:t>
            </w:r>
          </w:p>
          <w:p w14:paraId="6F72034B" w14:textId="5FBDF095" w:rsidR="007B199E" w:rsidRPr="006659D8" w:rsidRDefault="007B199E" w:rsidP="007B199E">
            <w:pPr>
              <w:spacing w:after="0" w:line="240" w:lineRule="auto"/>
              <w:jc w:val="center"/>
              <w:rPr>
                <w:rFonts w:ascii="Arial Narrow" w:hAnsi="Arial Narrow"/>
                <w:color w:val="FFFFFF" w:themeColor="background1"/>
                <w:sz w:val="20"/>
                <w:szCs w:val="16"/>
              </w:rPr>
            </w:pPr>
            <w:r w:rsidRPr="006659D8">
              <w:rPr>
                <w:rFonts w:ascii="Arial Narrow" w:hAnsi="Arial Narrow"/>
                <w:b/>
                <w:bCs/>
                <w:color w:val="FFFFFF" w:themeColor="background1"/>
                <w:sz w:val="18"/>
                <w:szCs w:val="16"/>
              </w:rPr>
              <w:t>(</w:t>
            </w:r>
            <w:proofErr w:type="spellStart"/>
            <w:r w:rsidRPr="006659D8">
              <w:rPr>
                <w:rFonts w:ascii="Arial Narrow" w:hAnsi="Arial Narrow"/>
                <w:b/>
                <w:bCs/>
                <w:color w:val="FFFFFF" w:themeColor="background1"/>
                <w:sz w:val="18"/>
                <w:szCs w:val="16"/>
              </w:rPr>
              <w:t>GWh</w:t>
            </w:r>
            <w:proofErr w:type="spellEnd"/>
            <w:r w:rsidRPr="006659D8">
              <w:rPr>
                <w:rFonts w:ascii="Arial Narrow" w:hAnsi="Arial Narrow"/>
                <w:b/>
                <w:bCs/>
                <w:color w:val="FFFFFF" w:themeColor="background1"/>
                <w:sz w:val="18"/>
                <w:szCs w:val="16"/>
              </w:rPr>
              <w:t>)</w:t>
            </w:r>
          </w:p>
        </w:tc>
      </w:tr>
      <w:tr w:rsidR="007B199E" w:rsidRPr="006659D8" w14:paraId="2B70A200" w14:textId="77777777" w:rsidTr="00BE5EFC">
        <w:trPr>
          <w:trHeight w:val="20"/>
          <w:jc w:val="center"/>
        </w:trPr>
        <w:tc>
          <w:tcPr>
            <w:tcW w:w="144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742BC350" w14:textId="77777777" w:rsidR="007B199E" w:rsidRPr="006659D8" w:rsidRDefault="007B199E" w:rsidP="007B199E">
            <w:pPr>
              <w:spacing w:after="0" w:line="240" w:lineRule="auto"/>
              <w:jc w:val="both"/>
              <w:rPr>
                <w:rFonts w:ascii="Arial Narrow" w:hAnsi="Arial Narrow"/>
                <w:sz w:val="20"/>
                <w:szCs w:val="16"/>
              </w:rPr>
            </w:pPr>
            <w:r w:rsidRPr="006659D8">
              <w:rPr>
                <w:rFonts w:ascii="Arial Narrow" w:hAnsi="Arial Narrow"/>
                <w:sz w:val="20"/>
                <w:szCs w:val="16"/>
              </w:rPr>
              <w:t>Tensión ≥ 220 kV</w:t>
            </w:r>
          </w:p>
        </w:tc>
        <w:tc>
          <w:tcPr>
            <w:tcW w:w="2666"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4DF0D6E3" w14:textId="77777777" w:rsidR="007B199E" w:rsidRPr="006659D8" w:rsidRDefault="007B199E" w:rsidP="007B199E">
            <w:pPr>
              <w:spacing w:after="0" w:line="240" w:lineRule="auto"/>
              <w:jc w:val="center"/>
              <w:rPr>
                <w:rFonts w:ascii="Arial Narrow" w:hAnsi="Arial Narrow"/>
                <w:sz w:val="20"/>
                <w:szCs w:val="16"/>
              </w:rPr>
            </w:pPr>
            <w:r w:rsidRPr="006659D8">
              <w:rPr>
                <w:rFonts w:ascii="Arial Narrow" w:hAnsi="Arial Narrow"/>
                <w:sz w:val="20"/>
                <w:szCs w:val="16"/>
              </w:rPr>
              <w:t>42,290</w:t>
            </w:r>
          </w:p>
        </w:tc>
      </w:tr>
      <w:tr w:rsidR="007B199E" w:rsidRPr="006659D8" w14:paraId="206F0889" w14:textId="77777777" w:rsidTr="00BE5EFC">
        <w:trPr>
          <w:trHeight w:val="20"/>
          <w:jc w:val="center"/>
        </w:trPr>
        <w:tc>
          <w:tcPr>
            <w:tcW w:w="14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03A42E" w14:textId="77777777" w:rsidR="007B199E" w:rsidRPr="006659D8" w:rsidRDefault="007E4666" w:rsidP="007B199E">
            <w:pPr>
              <w:spacing w:after="0" w:line="240" w:lineRule="auto"/>
              <w:jc w:val="both"/>
              <w:rPr>
                <w:rFonts w:ascii="Arial Narrow" w:hAnsi="Arial Narrow"/>
                <w:sz w:val="20"/>
                <w:szCs w:val="16"/>
              </w:rPr>
            </w:pPr>
            <w:r>
              <w:rPr>
                <w:rFonts w:ascii="Arial Narrow" w:hAnsi="Arial Narrow"/>
                <w:sz w:val="20"/>
                <w:szCs w:val="16"/>
              </w:rPr>
              <w:t xml:space="preserve">Tensión &lt; </w:t>
            </w:r>
            <w:r w:rsidR="007B199E" w:rsidRPr="006659D8">
              <w:rPr>
                <w:rFonts w:ascii="Arial Narrow" w:hAnsi="Arial Narrow"/>
                <w:sz w:val="20"/>
                <w:szCs w:val="16"/>
              </w:rPr>
              <w:t>220 kV</w:t>
            </w:r>
          </w:p>
        </w:tc>
        <w:tc>
          <w:tcPr>
            <w:tcW w:w="2666"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E4BCE" w14:textId="77777777" w:rsidR="007B199E" w:rsidRPr="006659D8" w:rsidRDefault="007B199E" w:rsidP="007B199E">
            <w:pPr>
              <w:spacing w:after="0" w:line="240" w:lineRule="auto"/>
              <w:jc w:val="center"/>
              <w:rPr>
                <w:rFonts w:ascii="Arial Narrow" w:hAnsi="Arial Narrow"/>
                <w:sz w:val="20"/>
                <w:szCs w:val="16"/>
              </w:rPr>
            </w:pPr>
            <w:r w:rsidRPr="006659D8">
              <w:rPr>
                <w:rFonts w:ascii="Arial Narrow" w:hAnsi="Arial Narrow"/>
                <w:sz w:val="20"/>
                <w:szCs w:val="16"/>
              </w:rPr>
              <w:t>201,034</w:t>
            </w:r>
          </w:p>
        </w:tc>
      </w:tr>
      <w:tr w:rsidR="007B199E" w:rsidRPr="006659D8" w14:paraId="4F80B79A" w14:textId="77777777" w:rsidTr="00BE5EFC">
        <w:trPr>
          <w:trHeight w:val="20"/>
          <w:jc w:val="center"/>
        </w:trPr>
        <w:tc>
          <w:tcPr>
            <w:tcW w:w="14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EA73C6B" w14:textId="77777777" w:rsidR="007B199E" w:rsidRPr="006659D8" w:rsidRDefault="007B199E" w:rsidP="007B199E">
            <w:pPr>
              <w:spacing w:after="0" w:line="240" w:lineRule="auto"/>
              <w:jc w:val="both"/>
              <w:rPr>
                <w:rFonts w:ascii="Arial Narrow" w:hAnsi="Arial Narrow"/>
                <w:b/>
                <w:sz w:val="20"/>
                <w:szCs w:val="16"/>
              </w:rPr>
            </w:pPr>
            <w:r w:rsidRPr="006659D8">
              <w:rPr>
                <w:rFonts w:ascii="Arial Narrow" w:hAnsi="Arial Narrow"/>
                <w:b/>
                <w:sz w:val="20"/>
                <w:szCs w:val="16"/>
              </w:rPr>
              <w:t>Total</w:t>
            </w:r>
          </w:p>
        </w:tc>
        <w:tc>
          <w:tcPr>
            <w:tcW w:w="26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C5CE1B" w14:textId="77777777" w:rsidR="007B199E" w:rsidRPr="006659D8" w:rsidRDefault="007B199E" w:rsidP="007B199E">
            <w:pPr>
              <w:spacing w:after="0" w:line="240" w:lineRule="auto"/>
              <w:jc w:val="center"/>
              <w:rPr>
                <w:rFonts w:ascii="Arial Narrow" w:hAnsi="Arial Narrow"/>
                <w:b/>
                <w:sz w:val="20"/>
                <w:szCs w:val="16"/>
              </w:rPr>
            </w:pPr>
            <w:r w:rsidRPr="006659D8">
              <w:rPr>
                <w:rFonts w:ascii="Arial Narrow" w:hAnsi="Arial Narrow"/>
                <w:b/>
                <w:sz w:val="20"/>
                <w:szCs w:val="16"/>
              </w:rPr>
              <w:t>243,324</w:t>
            </w:r>
          </w:p>
        </w:tc>
      </w:tr>
    </w:tbl>
    <w:p w14:paraId="5FF12762" w14:textId="77777777" w:rsidR="006F2F83" w:rsidRDefault="006F2F83" w:rsidP="006F2F83"/>
    <w:p w14:paraId="48711A1D" w14:textId="77777777" w:rsidR="007F37D4" w:rsidRPr="007F37D4" w:rsidRDefault="007F37D4" w:rsidP="007F37D4">
      <w:pPr>
        <w:pStyle w:val="Ttulo1"/>
        <w:spacing w:before="0" w:line="240" w:lineRule="auto"/>
        <w:ind w:left="431" w:hanging="431"/>
        <w:rPr>
          <w:rFonts w:ascii="Arial Narrow" w:hAnsi="Arial Narrow"/>
          <w:color w:val="000000" w:themeColor="text1"/>
          <w:sz w:val="22"/>
          <w:szCs w:val="22"/>
        </w:rPr>
      </w:pPr>
      <w:r w:rsidRPr="007F37D4">
        <w:rPr>
          <w:rFonts w:ascii="Arial Narrow" w:hAnsi="Arial Narrow"/>
          <w:color w:val="000000" w:themeColor="text1"/>
          <w:sz w:val="22"/>
          <w:szCs w:val="22"/>
        </w:rPr>
        <w:t>Cálculo de las tarifas</w:t>
      </w:r>
    </w:p>
    <w:p w14:paraId="3603AAE5" w14:textId="77777777" w:rsidR="00EC2A55" w:rsidRDefault="00EC2A55" w:rsidP="00EC2A55">
      <w:pPr>
        <w:spacing w:after="0" w:line="240" w:lineRule="auto"/>
        <w:jc w:val="both"/>
        <w:rPr>
          <w:rFonts w:ascii="Arial Narrow" w:hAnsi="Arial Narrow"/>
        </w:rPr>
      </w:pPr>
      <w:r w:rsidRPr="00EC2A55">
        <w:rPr>
          <w:rFonts w:ascii="Arial Narrow" w:hAnsi="Arial Narrow"/>
        </w:rPr>
        <w:t xml:space="preserve"> </w:t>
      </w:r>
    </w:p>
    <w:p w14:paraId="45BFDD4C" w14:textId="2B3DADA7" w:rsidR="007F37D4" w:rsidRDefault="006F2F83" w:rsidP="00EC2A55">
      <w:pPr>
        <w:spacing w:after="0" w:line="240" w:lineRule="auto"/>
        <w:jc w:val="both"/>
        <w:rPr>
          <w:rFonts w:ascii="Arial Narrow" w:hAnsi="Arial Narrow"/>
        </w:rPr>
      </w:pPr>
      <w:r>
        <w:rPr>
          <w:rFonts w:ascii="Arial Narrow" w:hAnsi="Arial Narrow"/>
        </w:rPr>
        <w:t>Con base en las mejores prácticas internacionales</w:t>
      </w:r>
      <w:r w:rsidR="007F37D4" w:rsidRPr="007F37D4">
        <w:rPr>
          <w:rFonts w:ascii="Arial Narrow" w:hAnsi="Arial Narrow"/>
        </w:rPr>
        <w:t xml:space="preserve"> </w:t>
      </w:r>
      <w:r>
        <w:rPr>
          <w:rFonts w:ascii="Arial Narrow" w:hAnsi="Arial Narrow"/>
        </w:rPr>
        <w:t xml:space="preserve">y a efecto </w:t>
      </w:r>
      <w:r w:rsidR="007F37D4" w:rsidRPr="007F37D4">
        <w:rPr>
          <w:rFonts w:ascii="Arial Narrow" w:hAnsi="Arial Narrow"/>
        </w:rPr>
        <w:t>de reforzar las señales de localización eficiente principalmente aportadas por el d</w:t>
      </w:r>
      <w:r w:rsidR="007F37D4">
        <w:rPr>
          <w:rFonts w:ascii="Arial Narrow" w:hAnsi="Arial Narrow"/>
        </w:rPr>
        <w:t>iseño de precios nodales del Mercado Eléctrico Mayorista</w:t>
      </w:r>
      <w:r w:rsidR="007F37D4" w:rsidRPr="007F37D4">
        <w:rPr>
          <w:rFonts w:ascii="Arial Narrow" w:hAnsi="Arial Narrow"/>
        </w:rPr>
        <w:t xml:space="preserve">, se </w:t>
      </w:r>
      <w:r>
        <w:rPr>
          <w:rFonts w:ascii="Arial Narrow" w:hAnsi="Arial Narrow"/>
        </w:rPr>
        <w:t>determinó asignar</w:t>
      </w:r>
      <w:r w:rsidR="007F37D4" w:rsidRPr="007F37D4">
        <w:rPr>
          <w:rFonts w:ascii="Arial Narrow" w:hAnsi="Arial Narrow"/>
        </w:rPr>
        <w:t xml:space="preserve"> el 70% del I</w:t>
      </w:r>
      <w:r w:rsidR="007F37D4">
        <w:rPr>
          <w:rFonts w:ascii="Arial Narrow" w:hAnsi="Arial Narrow"/>
        </w:rPr>
        <w:t xml:space="preserve">ngreso </w:t>
      </w:r>
      <w:r w:rsidR="007F37D4" w:rsidRPr="007F37D4">
        <w:rPr>
          <w:rFonts w:ascii="Arial Narrow" w:hAnsi="Arial Narrow"/>
        </w:rPr>
        <w:t>R</w:t>
      </w:r>
      <w:r w:rsidR="00794FDD">
        <w:rPr>
          <w:rFonts w:ascii="Arial Narrow" w:hAnsi="Arial Narrow"/>
        </w:rPr>
        <w:t xml:space="preserve">equerido, obtenido </w:t>
      </w:r>
      <w:r w:rsidR="00794FDD" w:rsidRPr="006659F0">
        <w:rPr>
          <w:rFonts w:ascii="Arial Narrow" w:hAnsi="Arial Narrow"/>
        </w:rPr>
        <w:t xml:space="preserve">en el punto </w:t>
      </w:r>
      <w:r w:rsidR="00196F03">
        <w:rPr>
          <w:rFonts w:ascii="Arial Narrow" w:hAnsi="Arial Narrow"/>
        </w:rPr>
        <w:fldChar w:fldCharType="begin"/>
      </w:r>
      <w:r w:rsidR="00196F03">
        <w:rPr>
          <w:rFonts w:ascii="Arial Narrow" w:hAnsi="Arial Narrow"/>
        </w:rPr>
        <w:instrText xml:space="preserve"> REF _Ref433735532 \r \h </w:instrText>
      </w:r>
      <w:r w:rsidR="00196F03">
        <w:rPr>
          <w:rFonts w:ascii="Arial Narrow" w:hAnsi="Arial Narrow"/>
        </w:rPr>
      </w:r>
      <w:r w:rsidR="00196F03">
        <w:rPr>
          <w:rFonts w:ascii="Arial Narrow" w:hAnsi="Arial Narrow"/>
        </w:rPr>
        <w:fldChar w:fldCharType="separate"/>
      </w:r>
      <w:r w:rsidR="00EE7C88">
        <w:rPr>
          <w:rFonts w:ascii="Arial Narrow" w:hAnsi="Arial Narrow"/>
        </w:rPr>
        <w:t>2.3</w:t>
      </w:r>
      <w:r w:rsidR="00196F03">
        <w:rPr>
          <w:rFonts w:ascii="Arial Narrow" w:hAnsi="Arial Narrow"/>
        </w:rPr>
        <w:fldChar w:fldCharType="end"/>
      </w:r>
      <w:r w:rsidR="00794FDD">
        <w:rPr>
          <w:rFonts w:ascii="Arial Narrow" w:hAnsi="Arial Narrow"/>
        </w:rPr>
        <w:t xml:space="preserve"> de este documento, </w:t>
      </w:r>
      <w:r w:rsidR="007F37D4" w:rsidRPr="007F37D4">
        <w:rPr>
          <w:rFonts w:ascii="Arial Narrow" w:hAnsi="Arial Narrow"/>
        </w:rPr>
        <w:t>a los consumidores y 30% a los generadores.</w:t>
      </w:r>
    </w:p>
    <w:p w14:paraId="6C9978BC" w14:textId="77777777" w:rsidR="009412E2" w:rsidRDefault="009412E2" w:rsidP="009412E2">
      <w:pPr>
        <w:spacing w:after="0" w:line="240" w:lineRule="auto"/>
        <w:jc w:val="both"/>
        <w:rPr>
          <w:rFonts w:ascii="Arial Narrow" w:hAnsi="Arial Narrow"/>
        </w:rPr>
      </w:pPr>
    </w:p>
    <w:p w14:paraId="56B9B31D" w14:textId="2AAF1F5E" w:rsidR="009412E2" w:rsidRDefault="009412E2" w:rsidP="009412E2">
      <w:pPr>
        <w:spacing w:after="0" w:line="240" w:lineRule="auto"/>
        <w:jc w:val="both"/>
        <w:rPr>
          <w:rFonts w:ascii="Arial Narrow" w:hAnsi="Arial Narrow"/>
        </w:rPr>
      </w:pPr>
      <w:r w:rsidRPr="009412E2">
        <w:rPr>
          <w:rFonts w:ascii="Arial Narrow" w:hAnsi="Arial Narrow"/>
        </w:rPr>
        <w:t xml:space="preserve">Los costos marginales para desarrollar </w:t>
      </w:r>
      <w:r w:rsidR="00196F03">
        <w:rPr>
          <w:rFonts w:ascii="Arial Narrow" w:hAnsi="Arial Narrow"/>
        </w:rPr>
        <w:t>las</w:t>
      </w:r>
      <w:r w:rsidRPr="009412E2">
        <w:rPr>
          <w:rFonts w:ascii="Arial Narrow" w:hAnsi="Arial Narrow"/>
        </w:rPr>
        <w:t xml:space="preserve"> redes </w:t>
      </w:r>
      <w:r w:rsidR="00196F03">
        <w:rPr>
          <w:rFonts w:ascii="Arial Narrow" w:hAnsi="Arial Narrow"/>
        </w:rPr>
        <w:t xml:space="preserve">de transmisión están en función </w:t>
      </w:r>
      <w:r w:rsidR="006F2F83">
        <w:rPr>
          <w:rFonts w:ascii="Arial Narrow" w:hAnsi="Arial Narrow"/>
        </w:rPr>
        <w:t>de los dos</w:t>
      </w:r>
      <w:r w:rsidR="00196F03">
        <w:rPr>
          <w:rFonts w:ascii="Arial Narrow" w:hAnsi="Arial Narrow"/>
        </w:rPr>
        <w:t xml:space="preserve"> nivel</w:t>
      </w:r>
      <w:r w:rsidR="006F2F83">
        <w:rPr>
          <w:rFonts w:ascii="Arial Narrow" w:hAnsi="Arial Narrow"/>
        </w:rPr>
        <w:t>es</w:t>
      </w:r>
      <w:r w:rsidR="00196F03">
        <w:rPr>
          <w:rFonts w:ascii="Arial Narrow" w:hAnsi="Arial Narrow"/>
        </w:rPr>
        <w:t xml:space="preserve"> de tensión</w:t>
      </w:r>
      <w:r w:rsidR="006F2F83">
        <w:rPr>
          <w:rFonts w:ascii="Arial Narrow" w:hAnsi="Arial Narrow"/>
        </w:rPr>
        <w:t xml:space="preserve"> antes mencionados</w:t>
      </w:r>
      <w:r w:rsidR="00196F03">
        <w:rPr>
          <w:rFonts w:ascii="Arial Narrow" w:hAnsi="Arial Narrow"/>
        </w:rPr>
        <w:t xml:space="preserve">; </w:t>
      </w:r>
      <w:r>
        <w:rPr>
          <w:rFonts w:ascii="Arial Narrow" w:hAnsi="Arial Narrow"/>
        </w:rPr>
        <w:t>por lo que l</w:t>
      </w:r>
      <w:r w:rsidRPr="009412E2">
        <w:rPr>
          <w:rFonts w:ascii="Arial Narrow" w:hAnsi="Arial Narrow"/>
        </w:rPr>
        <w:t xml:space="preserve">a ponderación </w:t>
      </w:r>
      <w:r w:rsidR="00196F03">
        <w:rPr>
          <w:rFonts w:ascii="Arial Narrow" w:hAnsi="Arial Narrow"/>
        </w:rPr>
        <w:t>dependerá de</w:t>
      </w:r>
      <w:r w:rsidR="00583C93">
        <w:rPr>
          <w:rFonts w:ascii="Arial Narrow" w:hAnsi="Arial Narrow"/>
        </w:rPr>
        <w:t>l</w:t>
      </w:r>
      <w:r w:rsidR="00196F03">
        <w:rPr>
          <w:rFonts w:ascii="Arial Narrow" w:hAnsi="Arial Narrow"/>
        </w:rPr>
        <w:t xml:space="preserve"> </w:t>
      </w:r>
      <w:r>
        <w:rPr>
          <w:rFonts w:ascii="Arial Narrow" w:hAnsi="Arial Narrow"/>
        </w:rPr>
        <w:t xml:space="preserve">nivel de tensión en el que </w:t>
      </w:r>
      <w:r w:rsidRPr="009412E2">
        <w:rPr>
          <w:rFonts w:ascii="Arial Narrow" w:hAnsi="Arial Narrow"/>
        </w:rPr>
        <w:t xml:space="preserve">se haga uso de la red, a manera de </w:t>
      </w:r>
      <w:r w:rsidRPr="0054015F">
        <w:rPr>
          <w:rFonts w:ascii="Arial Narrow" w:hAnsi="Arial Narrow"/>
        </w:rPr>
        <w:t>reflejar los costos marginales de capacidad de largo plazo (CMCLP) de desarrollar dicha red hasta ese punto.</w:t>
      </w:r>
      <w:r>
        <w:rPr>
          <w:rFonts w:ascii="Arial Narrow" w:hAnsi="Arial Narrow"/>
        </w:rPr>
        <w:t xml:space="preserve"> </w:t>
      </w:r>
      <w:r w:rsidR="00295366">
        <w:rPr>
          <w:rFonts w:ascii="Arial Narrow" w:hAnsi="Arial Narrow"/>
        </w:rPr>
        <w:t>De l</w:t>
      </w:r>
      <w:r w:rsidR="005C4C0D">
        <w:rPr>
          <w:rFonts w:ascii="Arial Narrow" w:hAnsi="Arial Narrow"/>
        </w:rPr>
        <w:t xml:space="preserve">os </w:t>
      </w:r>
      <w:r w:rsidRPr="009412E2">
        <w:rPr>
          <w:rFonts w:ascii="Arial Narrow" w:hAnsi="Arial Narrow"/>
        </w:rPr>
        <w:t xml:space="preserve">CMCLP </w:t>
      </w:r>
      <w:r w:rsidR="005C4C0D">
        <w:rPr>
          <w:rFonts w:ascii="Arial Narrow" w:hAnsi="Arial Narrow"/>
        </w:rPr>
        <w:t>se derivan los s</w:t>
      </w:r>
      <w:r w:rsidRPr="009412E2">
        <w:rPr>
          <w:rFonts w:ascii="Arial Narrow" w:hAnsi="Arial Narrow"/>
        </w:rPr>
        <w:t>iguientes factores de localización por nivel de tensión:</w:t>
      </w:r>
    </w:p>
    <w:p w14:paraId="35500E55" w14:textId="77777777" w:rsidR="00295366" w:rsidRDefault="00295366" w:rsidP="00295366">
      <w:pPr>
        <w:pStyle w:val="Descripcin"/>
        <w:jc w:val="center"/>
        <w:rPr>
          <w:sz w:val="20"/>
        </w:rPr>
      </w:pPr>
      <w:bookmarkStart w:id="9" w:name="_Ref433301092"/>
      <w:bookmarkStart w:id="10" w:name="_Ref433301082"/>
    </w:p>
    <w:p w14:paraId="5D237BC5" w14:textId="77777777" w:rsidR="00295366" w:rsidRPr="00A9475D" w:rsidRDefault="00295366" w:rsidP="00295366">
      <w:pPr>
        <w:pStyle w:val="Descripcin"/>
        <w:jc w:val="center"/>
        <w:rPr>
          <w:sz w:val="20"/>
        </w:rPr>
      </w:pPr>
      <w:bookmarkStart w:id="11" w:name="_Ref435094457"/>
      <w:bookmarkStart w:id="12" w:name="_Ref435094441"/>
      <w:r w:rsidRPr="00A9475D">
        <w:rPr>
          <w:sz w:val="20"/>
        </w:rPr>
        <w:lastRenderedPageBreak/>
        <w:t xml:space="preserve">Tabla </w:t>
      </w:r>
      <w:r w:rsidRPr="00A9475D">
        <w:rPr>
          <w:sz w:val="20"/>
        </w:rPr>
        <w:fldChar w:fldCharType="begin"/>
      </w:r>
      <w:r w:rsidRPr="00A9475D">
        <w:rPr>
          <w:sz w:val="20"/>
        </w:rPr>
        <w:instrText xml:space="preserve"> SEQ Tabla \* ARABIC </w:instrText>
      </w:r>
      <w:r w:rsidRPr="00A9475D">
        <w:rPr>
          <w:sz w:val="20"/>
        </w:rPr>
        <w:fldChar w:fldCharType="separate"/>
      </w:r>
      <w:r w:rsidR="00EE7C88">
        <w:rPr>
          <w:noProof/>
          <w:sz w:val="20"/>
        </w:rPr>
        <w:t>6</w:t>
      </w:r>
      <w:r w:rsidRPr="00A9475D">
        <w:rPr>
          <w:sz w:val="20"/>
        </w:rPr>
        <w:fldChar w:fldCharType="end"/>
      </w:r>
      <w:bookmarkEnd w:id="9"/>
      <w:bookmarkEnd w:id="11"/>
      <w:r w:rsidRPr="00A9475D">
        <w:rPr>
          <w:sz w:val="20"/>
        </w:rPr>
        <w:t xml:space="preserve">. </w:t>
      </w:r>
      <w:bookmarkStart w:id="13" w:name="_Ref435094448"/>
      <w:r w:rsidRPr="00A9475D">
        <w:rPr>
          <w:sz w:val="20"/>
        </w:rPr>
        <w:t>Factores de ponderación por nivel de tensión.</w:t>
      </w:r>
      <w:bookmarkEnd w:id="10"/>
      <w:bookmarkEnd w:id="12"/>
      <w:bookmarkEnd w:id="13"/>
    </w:p>
    <w:tbl>
      <w:tblPr>
        <w:tblW w:w="4590" w:type="dxa"/>
        <w:jc w:val="center"/>
        <w:tblCellMar>
          <w:left w:w="0" w:type="dxa"/>
          <w:right w:w="0" w:type="dxa"/>
        </w:tblCellMar>
        <w:tblLook w:val="0600" w:firstRow="0" w:lastRow="0" w:firstColumn="0" w:lastColumn="0" w:noHBand="1" w:noVBand="1"/>
      </w:tblPr>
      <w:tblGrid>
        <w:gridCol w:w="1350"/>
        <w:gridCol w:w="1800"/>
        <w:gridCol w:w="1440"/>
      </w:tblGrid>
      <w:tr w:rsidR="005C4C0D" w:rsidRPr="006659D8" w14:paraId="7FB3B5C4" w14:textId="77777777" w:rsidTr="006659D8">
        <w:trPr>
          <w:trHeight w:val="20"/>
          <w:jc w:val="center"/>
        </w:trPr>
        <w:tc>
          <w:tcPr>
            <w:tcW w:w="135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3F753E9C" w14:textId="77777777" w:rsidR="005C4C0D" w:rsidRPr="006659D8" w:rsidRDefault="005C4C0D" w:rsidP="005C4C0D">
            <w:pPr>
              <w:spacing w:after="0" w:line="240" w:lineRule="auto"/>
              <w:jc w:val="center"/>
              <w:rPr>
                <w:rFonts w:ascii="Arial Narrow" w:hAnsi="Arial Narrow"/>
                <w:color w:val="FFFFFF" w:themeColor="background1"/>
                <w:sz w:val="20"/>
              </w:rPr>
            </w:pPr>
            <w:r w:rsidRPr="006659D8">
              <w:rPr>
                <w:rFonts w:ascii="Arial Narrow" w:hAnsi="Arial Narrow"/>
                <w:b/>
                <w:bCs/>
                <w:color w:val="FFFFFF" w:themeColor="background1"/>
                <w:sz w:val="20"/>
              </w:rPr>
              <w:t>Nivel de tensión</w:t>
            </w:r>
          </w:p>
        </w:tc>
        <w:tc>
          <w:tcPr>
            <w:tcW w:w="180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0FEFCCF4" w14:textId="77777777" w:rsidR="005C4C0D" w:rsidRPr="006659D8" w:rsidRDefault="005C4C0D" w:rsidP="005C4C0D">
            <w:pPr>
              <w:spacing w:after="0" w:line="240" w:lineRule="auto"/>
              <w:jc w:val="center"/>
              <w:rPr>
                <w:rFonts w:ascii="Arial Narrow" w:hAnsi="Arial Narrow"/>
                <w:b/>
                <w:bCs/>
                <w:color w:val="FFFFFF" w:themeColor="background1"/>
                <w:sz w:val="20"/>
              </w:rPr>
            </w:pPr>
            <w:r w:rsidRPr="006659D8">
              <w:rPr>
                <w:rFonts w:ascii="Arial Narrow" w:hAnsi="Arial Narrow"/>
                <w:b/>
                <w:bCs/>
                <w:color w:val="FFFFFF" w:themeColor="background1"/>
                <w:sz w:val="20"/>
              </w:rPr>
              <w:t>Generadores</w:t>
            </w:r>
          </w:p>
          <w:p w14:paraId="7D965DCA" w14:textId="77777777" w:rsidR="005C4C0D" w:rsidRPr="006659D8" w:rsidRDefault="005C4C0D" w:rsidP="005C4C0D">
            <w:pPr>
              <w:spacing w:after="0" w:line="240" w:lineRule="auto"/>
              <w:jc w:val="center"/>
              <w:rPr>
                <w:rFonts w:ascii="Arial Narrow" w:hAnsi="Arial Narrow"/>
                <w:color w:val="FFFFFF" w:themeColor="background1"/>
                <w:sz w:val="20"/>
              </w:rPr>
            </w:pPr>
            <w:r w:rsidRPr="006659D8">
              <w:rPr>
                <w:rFonts w:ascii="Arial Narrow" w:hAnsi="Arial Narrow"/>
                <w:color w:val="FFFFFF" w:themeColor="background1"/>
                <w:sz w:val="20"/>
              </w:rPr>
              <w:t>Generadores interconectados</w:t>
            </w:r>
          </w:p>
        </w:tc>
        <w:tc>
          <w:tcPr>
            <w:tcW w:w="1440" w:type="dxa"/>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0C991495" w14:textId="77777777" w:rsidR="005C4C0D" w:rsidRPr="006659D8" w:rsidRDefault="005C4C0D" w:rsidP="005C4C0D">
            <w:pPr>
              <w:spacing w:after="0" w:line="240" w:lineRule="auto"/>
              <w:jc w:val="center"/>
              <w:rPr>
                <w:rFonts w:ascii="Arial Narrow" w:hAnsi="Arial Narrow"/>
                <w:b/>
                <w:bCs/>
                <w:color w:val="FFFFFF" w:themeColor="background1"/>
                <w:sz w:val="20"/>
              </w:rPr>
            </w:pPr>
            <w:r w:rsidRPr="006659D8">
              <w:rPr>
                <w:rFonts w:ascii="Arial Narrow" w:hAnsi="Arial Narrow"/>
                <w:b/>
                <w:bCs/>
                <w:color w:val="FFFFFF" w:themeColor="background1"/>
                <w:sz w:val="20"/>
              </w:rPr>
              <w:t>Consumidores</w:t>
            </w:r>
          </w:p>
          <w:p w14:paraId="67B757E4" w14:textId="77777777" w:rsidR="005C4C0D" w:rsidRPr="006659D8" w:rsidRDefault="005C4C0D" w:rsidP="005C4C0D">
            <w:pPr>
              <w:spacing w:after="0" w:line="240" w:lineRule="auto"/>
              <w:jc w:val="center"/>
              <w:rPr>
                <w:rFonts w:ascii="Arial Narrow" w:hAnsi="Arial Narrow"/>
                <w:color w:val="FFFFFF" w:themeColor="background1"/>
                <w:sz w:val="20"/>
              </w:rPr>
            </w:pPr>
            <w:r w:rsidRPr="006659D8">
              <w:rPr>
                <w:rFonts w:ascii="Arial Narrow" w:hAnsi="Arial Narrow"/>
                <w:color w:val="FFFFFF" w:themeColor="background1"/>
                <w:sz w:val="20"/>
              </w:rPr>
              <w:t>Servicios de suministro</w:t>
            </w:r>
          </w:p>
        </w:tc>
      </w:tr>
      <w:tr w:rsidR="005C4C0D" w:rsidRPr="006659D8" w14:paraId="0BB60E0D" w14:textId="77777777" w:rsidTr="006659D8">
        <w:trPr>
          <w:trHeight w:val="20"/>
          <w:jc w:val="center"/>
        </w:trPr>
        <w:tc>
          <w:tcPr>
            <w:tcW w:w="135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2C512EA5" w14:textId="77777777" w:rsidR="005C4C0D" w:rsidRPr="006659D8" w:rsidRDefault="005C4C0D" w:rsidP="005C4C0D">
            <w:pPr>
              <w:spacing w:after="0" w:line="240" w:lineRule="auto"/>
              <w:jc w:val="both"/>
              <w:rPr>
                <w:rFonts w:ascii="Arial Narrow" w:hAnsi="Arial Narrow"/>
                <w:sz w:val="20"/>
              </w:rPr>
            </w:pPr>
            <w:r w:rsidRPr="006659D8">
              <w:rPr>
                <w:rFonts w:ascii="Arial Narrow" w:hAnsi="Arial Narrow"/>
                <w:sz w:val="20"/>
              </w:rPr>
              <w:t>Tensión ≥ 220 kV</w:t>
            </w:r>
          </w:p>
        </w:tc>
        <w:tc>
          <w:tcPr>
            <w:tcW w:w="180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41772EF5" w14:textId="77777777" w:rsidR="005C4C0D" w:rsidRPr="006659D8" w:rsidRDefault="005C4C0D" w:rsidP="005C4C0D">
            <w:pPr>
              <w:spacing w:after="0" w:line="240" w:lineRule="auto"/>
              <w:jc w:val="center"/>
              <w:rPr>
                <w:rFonts w:ascii="Arial Narrow" w:hAnsi="Arial Narrow"/>
                <w:sz w:val="20"/>
              </w:rPr>
            </w:pPr>
            <w:r w:rsidRPr="006659D8">
              <w:rPr>
                <w:rFonts w:ascii="Arial Narrow" w:hAnsi="Arial Narrow"/>
                <w:sz w:val="20"/>
              </w:rPr>
              <w:t>0.55</w:t>
            </w:r>
          </w:p>
        </w:tc>
        <w:tc>
          <w:tcPr>
            <w:tcW w:w="144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14513DA1" w14:textId="77777777" w:rsidR="005C4C0D" w:rsidRPr="006659D8" w:rsidRDefault="005C4C0D" w:rsidP="005C4C0D">
            <w:pPr>
              <w:spacing w:after="0" w:line="240" w:lineRule="auto"/>
              <w:jc w:val="center"/>
              <w:rPr>
                <w:rFonts w:ascii="Arial Narrow" w:hAnsi="Arial Narrow"/>
                <w:sz w:val="20"/>
              </w:rPr>
            </w:pPr>
            <w:r w:rsidRPr="006659D8">
              <w:rPr>
                <w:rFonts w:ascii="Arial Narrow" w:hAnsi="Arial Narrow"/>
                <w:sz w:val="20"/>
              </w:rPr>
              <w:t>0.44</w:t>
            </w:r>
          </w:p>
        </w:tc>
      </w:tr>
      <w:tr w:rsidR="005C4C0D" w:rsidRPr="006659D8" w14:paraId="124F057C" w14:textId="77777777" w:rsidTr="006659D8">
        <w:trPr>
          <w:trHeight w:val="20"/>
          <w:jc w:val="center"/>
        </w:trPr>
        <w:tc>
          <w:tcPr>
            <w:tcW w:w="135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45C3EA" w14:textId="77777777" w:rsidR="005C4C0D" w:rsidRPr="006659D8" w:rsidRDefault="007E4666" w:rsidP="005C4C0D">
            <w:pPr>
              <w:spacing w:after="0" w:line="240" w:lineRule="auto"/>
              <w:jc w:val="both"/>
              <w:rPr>
                <w:rFonts w:ascii="Arial Narrow" w:hAnsi="Arial Narrow"/>
                <w:sz w:val="20"/>
              </w:rPr>
            </w:pPr>
            <w:r>
              <w:rPr>
                <w:rFonts w:ascii="Arial Narrow" w:hAnsi="Arial Narrow"/>
                <w:sz w:val="20"/>
              </w:rPr>
              <w:t xml:space="preserve">Tensión &lt; </w:t>
            </w:r>
            <w:r w:rsidR="005C4C0D" w:rsidRPr="006659D8">
              <w:rPr>
                <w:rFonts w:ascii="Arial Narrow" w:hAnsi="Arial Narrow"/>
                <w:sz w:val="20"/>
              </w:rPr>
              <w:t>220 kV</w:t>
            </w:r>
          </w:p>
        </w:tc>
        <w:tc>
          <w:tcPr>
            <w:tcW w:w="18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979D4E1" w14:textId="77777777" w:rsidR="005C4C0D" w:rsidRPr="006659D8" w:rsidRDefault="005C4C0D" w:rsidP="005C4C0D">
            <w:pPr>
              <w:spacing w:after="0" w:line="240" w:lineRule="auto"/>
              <w:jc w:val="center"/>
              <w:rPr>
                <w:rFonts w:ascii="Arial Narrow" w:hAnsi="Arial Narrow"/>
                <w:sz w:val="20"/>
              </w:rPr>
            </w:pPr>
            <w:r w:rsidRPr="006659D8">
              <w:rPr>
                <w:rFonts w:ascii="Arial Narrow" w:hAnsi="Arial Narrow"/>
                <w:sz w:val="20"/>
              </w:rPr>
              <w:t>1.00</w:t>
            </w:r>
          </w:p>
        </w:tc>
        <w:tc>
          <w:tcPr>
            <w:tcW w:w="14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1E892A8" w14:textId="77777777" w:rsidR="005C4C0D" w:rsidRPr="006659D8" w:rsidRDefault="005C4C0D" w:rsidP="005C4C0D">
            <w:pPr>
              <w:spacing w:after="0" w:line="240" w:lineRule="auto"/>
              <w:jc w:val="center"/>
              <w:rPr>
                <w:rFonts w:ascii="Arial Narrow" w:hAnsi="Arial Narrow"/>
                <w:sz w:val="20"/>
              </w:rPr>
            </w:pPr>
            <w:r w:rsidRPr="006659D8">
              <w:rPr>
                <w:rFonts w:ascii="Arial Narrow" w:hAnsi="Arial Narrow"/>
                <w:sz w:val="20"/>
              </w:rPr>
              <w:t>1.00</w:t>
            </w:r>
          </w:p>
        </w:tc>
      </w:tr>
    </w:tbl>
    <w:p w14:paraId="44542A6D" w14:textId="77777777" w:rsidR="00295366" w:rsidRDefault="00295366" w:rsidP="00EC2A55">
      <w:pPr>
        <w:spacing w:after="0" w:line="240" w:lineRule="auto"/>
        <w:jc w:val="both"/>
        <w:rPr>
          <w:rFonts w:ascii="Arial Narrow" w:hAnsi="Arial Narrow"/>
        </w:rPr>
      </w:pPr>
    </w:p>
    <w:p w14:paraId="0CEF8F96" w14:textId="77777777" w:rsidR="00A9475D" w:rsidRDefault="00A9475D" w:rsidP="00EC2A55">
      <w:pPr>
        <w:spacing w:after="0" w:line="240" w:lineRule="auto"/>
        <w:jc w:val="both"/>
        <w:rPr>
          <w:rFonts w:ascii="Arial Narrow" w:hAnsi="Arial Narrow"/>
        </w:rPr>
      </w:pPr>
      <w:r>
        <w:rPr>
          <w:rFonts w:ascii="Arial Narrow" w:hAnsi="Arial Narrow"/>
        </w:rPr>
        <w:t>Por lo tanto, las tarifas por nivel de tensión se pueden expresar como:</w:t>
      </w:r>
    </w:p>
    <w:p w14:paraId="5D642935" w14:textId="77777777" w:rsidR="00A9475D" w:rsidRDefault="00A9475D" w:rsidP="00EC2A55">
      <w:pPr>
        <w:spacing w:after="0" w:line="240" w:lineRule="auto"/>
        <w:jc w:val="both"/>
        <w:rPr>
          <w:rFonts w:ascii="Arial Narrow" w:hAnsi="Arial Narrow"/>
        </w:rPr>
      </w:pPr>
    </w:p>
    <w:p w14:paraId="668DCD8A" w14:textId="77777777" w:rsidR="00A9475D" w:rsidRPr="00A9475D" w:rsidRDefault="00794C0E" w:rsidP="00EC2A55">
      <w:pPr>
        <w:spacing w:after="0" w:line="240" w:lineRule="auto"/>
        <w:jc w:val="both"/>
        <w:rPr>
          <w:rFonts w:ascii="Arial Narrow" w:eastAsiaTheme="minorEastAsia" w:hAnsi="Arial Narrow"/>
          <w:b/>
          <w:bCs/>
          <w:iCs/>
        </w:rPr>
      </w:pPr>
      <m:oMathPara>
        <m:oMath>
          <m:sSub>
            <m:sSubPr>
              <m:ctrlPr>
                <w:rPr>
                  <w:rFonts w:ascii="Cambria Math" w:hAnsi="Cambria Math"/>
                  <w:b/>
                  <w:bCs/>
                  <w:i/>
                  <w:iCs/>
                </w:rPr>
              </m:ctrlPr>
            </m:sSubPr>
            <m:e>
              <m:r>
                <m:rPr>
                  <m:sty m:val="bi"/>
                </m:rPr>
                <w:rPr>
                  <w:rFonts w:ascii="Cambria Math" w:hAnsi="Cambria Math"/>
                </w:rPr>
                <m:t>Td</m:t>
              </m:r>
            </m:e>
            <m:sub>
              <m:r>
                <m:rPr>
                  <m:sty m:val="bi"/>
                </m:rPr>
                <w:rPr>
                  <w:rFonts w:ascii="Cambria Math" w:hAnsi="Cambria Math"/>
                </w:rPr>
                <m:t>i,j</m:t>
              </m:r>
            </m:sub>
          </m:sSub>
          <m:r>
            <m:rPr>
              <m:sty m:val="bi"/>
            </m:rPr>
            <w:rPr>
              <w:rFonts w:ascii="Cambria Math" w:hAnsi="Cambria Math"/>
            </w:rPr>
            <m:t>=70%IRn×</m:t>
          </m:r>
          <m:f>
            <m:fPr>
              <m:type m:val="lin"/>
              <m:ctrlPr>
                <w:rPr>
                  <w:rFonts w:ascii="Cambria Math" w:hAnsi="Cambria Math"/>
                  <w:b/>
                  <w:bCs/>
                  <w:i/>
                  <w:iCs/>
                </w:rPr>
              </m:ctrlPr>
            </m:fPr>
            <m:num>
              <m:r>
                <m:rPr>
                  <m:sty m:val="bi"/>
                </m:rPr>
                <w:rPr>
                  <w:rFonts w:ascii="Cambria Math" w:hAnsi="Cambria Math"/>
                </w:rPr>
                <m:t>1</m:t>
              </m:r>
            </m:num>
            <m:den>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MWhd</m:t>
                  </m:r>
                </m:e>
                <m:sub>
                  <m:r>
                    <m:rPr>
                      <m:sty m:val="bi"/>
                    </m:rPr>
                    <w:rPr>
                      <w:rFonts w:ascii="Cambria Math" w:hAnsi="Cambria Math"/>
                    </w:rPr>
                    <m:t>i.j</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MWhd</m:t>
                  </m:r>
                </m:e>
                <m:sub>
                  <m:r>
                    <m:rPr>
                      <m:sty m:val="bi"/>
                    </m:rPr>
                    <w:rPr>
                      <w:rFonts w:ascii="Cambria Math" w:hAnsi="Cambria Math"/>
                    </w:rPr>
                    <m:t>k,j</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FPd</m:t>
                  </m:r>
                </m:e>
                <m:sub>
                  <m:r>
                    <m:rPr>
                      <m:sty m:val="bi"/>
                    </m:rPr>
                    <w:rPr>
                      <w:rFonts w:ascii="Cambria Math" w:hAnsi="Cambria Math"/>
                    </w:rPr>
                    <m:t>i,j</m:t>
                  </m:r>
                </m:sub>
              </m:sSub>
              <m:r>
                <m:rPr>
                  <m:sty m:val="bi"/>
                </m:rPr>
                <w:rPr>
                  <w:rFonts w:ascii="Cambria Math" w:hAnsi="Cambria Math"/>
                </w:rPr>
                <m:t>)</m:t>
              </m:r>
            </m:den>
          </m:f>
        </m:oMath>
      </m:oMathPara>
    </w:p>
    <w:p w14:paraId="69130790" w14:textId="77777777" w:rsidR="00A9475D" w:rsidRPr="00A9475D" w:rsidRDefault="00A9475D" w:rsidP="00EC2A55">
      <w:pPr>
        <w:spacing w:after="0" w:line="240" w:lineRule="auto"/>
        <w:jc w:val="both"/>
        <w:rPr>
          <w:rFonts w:ascii="Arial Narrow" w:eastAsiaTheme="minorEastAsia" w:hAnsi="Arial Narrow"/>
          <w:b/>
          <w:bCs/>
          <w:iCs/>
        </w:rPr>
      </w:pPr>
    </w:p>
    <w:p w14:paraId="1A1616C0" w14:textId="77777777" w:rsidR="00A9475D" w:rsidRPr="00EC6C00" w:rsidRDefault="00794C0E" w:rsidP="00EC2A55">
      <w:pPr>
        <w:spacing w:after="0" w:line="240" w:lineRule="auto"/>
        <w:jc w:val="both"/>
        <w:rPr>
          <w:rFonts w:ascii="Arial Narrow" w:eastAsiaTheme="minorEastAsia" w:hAnsi="Arial Narrow"/>
          <w:b/>
          <w:bCs/>
          <w:iCs/>
        </w:rPr>
      </w:pPr>
      <m:oMathPara>
        <m:oMath>
          <m:sSub>
            <m:sSubPr>
              <m:ctrlPr>
                <w:rPr>
                  <w:rFonts w:ascii="Cambria Math" w:hAnsi="Cambria Math"/>
                  <w:b/>
                  <w:bCs/>
                  <w:i/>
                  <w:iCs/>
                </w:rPr>
              </m:ctrlPr>
            </m:sSubPr>
            <m:e>
              <m:r>
                <m:rPr>
                  <m:sty m:val="bi"/>
                </m:rPr>
                <w:rPr>
                  <w:rFonts w:ascii="Cambria Math" w:hAnsi="Cambria Math"/>
                </w:rPr>
                <m:t>Tg</m:t>
              </m:r>
            </m:e>
            <m:sub>
              <m:r>
                <m:rPr>
                  <m:sty m:val="bi"/>
                </m:rPr>
                <w:rPr>
                  <w:rFonts w:ascii="Cambria Math" w:hAnsi="Cambria Math"/>
                </w:rPr>
                <m:t>i,j</m:t>
              </m:r>
            </m:sub>
          </m:sSub>
          <m:r>
            <m:rPr>
              <m:sty m:val="bi"/>
            </m:rPr>
            <w:rPr>
              <w:rFonts w:ascii="Cambria Math" w:hAnsi="Cambria Math"/>
            </w:rPr>
            <m:t>=30%IRn×</m:t>
          </m:r>
          <m:f>
            <m:fPr>
              <m:type m:val="lin"/>
              <m:ctrlPr>
                <w:rPr>
                  <w:rFonts w:ascii="Cambria Math" w:hAnsi="Cambria Math"/>
                  <w:b/>
                  <w:bCs/>
                  <w:i/>
                  <w:iCs/>
                </w:rPr>
              </m:ctrlPr>
            </m:fPr>
            <m:num>
              <m:r>
                <m:rPr>
                  <m:sty m:val="bi"/>
                </m:rPr>
                <w:rPr>
                  <w:rFonts w:ascii="Cambria Math" w:hAnsi="Cambria Math"/>
                </w:rPr>
                <m:t>1</m:t>
              </m:r>
            </m:num>
            <m:den>
              <m:r>
                <m:rPr>
                  <m:sty m:val="bi"/>
                </m:rPr>
                <w:rPr>
                  <w:rFonts w:ascii="Cambria Math" w:hAnsi="Cambria Math"/>
                </w:rPr>
                <m:t> (</m:t>
              </m:r>
              <m:sSub>
                <m:sSubPr>
                  <m:ctrlPr>
                    <w:rPr>
                      <w:rFonts w:ascii="Cambria Math" w:hAnsi="Cambria Math"/>
                      <w:b/>
                      <w:bCs/>
                      <w:i/>
                      <w:iCs/>
                    </w:rPr>
                  </m:ctrlPr>
                </m:sSubPr>
                <m:e>
                  <m:r>
                    <m:rPr>
                      <m:sty m:val="bi"/>
                    </m:rPr>
                    <w:rPr>
                      <w:rFonts w:ascii="Cambria Math" w:hAnsi="Cambria Math"/>
                    </w:rPr>
                    <m:t>MWhg</m:t>
                  </m:r>
                </m:e>
                <m:sub>
                  <m:r>
                    <m:rPr>
                      <m:sty m:val="bi"/>
                    </m:rPr>
                    <w:rPr>
                      <w:rFonts w:ascii="Cambria Math" w:hAnsi="Cambria Math"/>
                    </w:rPr>
                    <m:t>i,j</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MWhg</m:t>
                  </m:r>
                </m:e>
                <m:sub>
                  <m:r>
                    <m:rPr>
                      <m:sty m:val="bi"/>
                    </m:rPr>
                    <w:rPr>
                      <w:rFonts w:ascii="Cambria Math" w:hAnsi="Cambria Math"/>
                    </w:rPr>
                    <m:t>k,j</m:t>
                  </m:r>
                </m:sub>
              </m:sSub>
              <m:r>
                <m:rPr>
                  <m:sty m:val="bi"/>
                </m:rPr>
                <w:rPr>
                  <w:rFonts w:ascii="Cambria Math" w:hAnsi="Cambria Math"/>
                </w:rPr>
                <m:t>*</m:t>
              </m:r>
              <m:sSub>
                <m:sSubPr>
                  <m:ctrlPr>
                    <w:rPr>
                      <w:rFonts w:ascii="Cambria Math" w:hAnsi="Cambria Math"/>
                      <w:b/>
                      <w:bCs/>
                      <w:i/>
                      <w:iCs/>
                    </w:rPr>
                  </m:ctrlPr>
                </m:sSubPr>
                <m:e>
                  <m:r>
                    <m:rPr>
                      <m:sty m:val="bi"/>
                    </m:rPr>
                    <w:rPr>
                      <w:rFonts w:ascii="Cambria Math" w:hAnsi="Cambria Math"/>
                    </w:rPr>
                    <m:t>FPg</m:t>
                  </m:r>
                </m:e>
                <m:sub>
                  <m:r>
                    <m:rPr>
                      <m:sty m:val="bi"/>
                    </m:rPr>
                    <w:rPr>
                      <w:rFonts w:ascii="Cambria Math" w:hAnsi="Cambria Math"/>
                    </w:rPr>
                    <m:t>i,j</m:t>
                  </m:r>
                </m:sub>
              </m:sSub>
              <m:r>
                <m:rPr>
                  <m:sty m:val="bi"/>
                </m:rPr>
                <w:rPr>
                  <w:rFonts w:ascii="Cambria Math" w:hAnsi="Cambria Math"/>
                </w:rPr>
                <m:t>)</m:t>
              </m:r>
            </m:den>
          </m:f>
        </m:oMath>
      </m:oMathPara>
    </w:p>
    <w:p w14:paraId="5C738BC1" w14:textId="77777777" w:rsidR="00FA659C" w:rsidRDefault="00FA659C" w:rsidP="00EC2A55">
      <w:pPr>
        <w:spacing w:after="0" w:line="240" w:lineRule="auto"/>
        <w:jc w:val="both"/>
        <w:rPr>
          <w:rFonts w:ascii="Arial Narrow" w:eastAsiaTheme="minorEastAsia" w:hAnsi="Arial Narrow"/>
          <w:bCs/>
          <w:iCs/>
        </w:rPr>
      </w:pPr>
    </w:p>
    <w:p w14:paraId="57C55A4E" w14:textId="77777777" w:rsidR="00EC6C00" w:rsidRPr="00EC6C00" w:rsidRDefault="00FA659C" w:rsidP="00EC2A55">
      <w:pPr>
        <w:spacing w:after="0" w:line="240" w:lineRule="auto"/>
        <w:jc w:val="both"/>
        <w:rPr>
          <w:rFonts w:ascii="Arial Narrow" w:eastAsiaTheme="minorEastAsia" w:hAnsi="Arial Narrow"/>
          <w:bCs/>
          <w:iCs/>
        </w:rPr>
      </w:pPr>
      <w:r>
        <w:rPr>
          <w:rFonts w:ascii="Arial Narrow" w:eastAsiaTheme="minorEastAsia" w:hAnsi="Arial Narrow"/>
          <w:bCs/>
          <w:iCs/>
        </w:rPr>
        <w:t>Do</w:t>
      </w:r>
      <w:r w:rsidR="00EC6C00" w:rsidRPr="00EC6C00">
        <w:rPr>
          <w:rFonts w:ascii="Arial Narrow" w:eastAsiaTheme="minorEastAsia" w:hAnsi="Arial Narrow"/>
          <w:bCs/>
          <w:iCs/>
        </w:rPr>
        <w:t>nde,</w:t>
      </w:r>
    </w:p>
    <w:p w14:paraId="49265174" w14:textId="77777777" w:rsidR="00EC6C00" w:rsidRPr="00EC6C00" w:rsidRDefault="00794C0E" w:rsidP="00EC6C00">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Td</m:t>
            </m:r>
          </m:e>
          <m:sub>
            <m:r>
              <w:rPr>
                <w:rFonts w:ascii="Cambria Math" w:hAnsi="Cambria Math"/>
              </w:rPr>
              <m:t>i,j</m:t>
            </m:r>
          </m:sub>
        </m:sSub>
      </m:oMath>
      <w:r w:rsidR="00EC6C00" w:rsidRPr="00EC6C00">
        <w:rPr>
          <w:rFonts w:ascii="Arial Narrow" w:hAnsi="Arial Narrow"/>
        </w:rPr>
        <w:t xml:space="preserve"> </w:t>
      </w:r>
      <w:proofErr w:type="gramStart"/>
      <w:r w:rsidR="00EC6C00" w:rsidRPr="00EC6C00">
        <w:rPr>
          <w:rFonts w:ascii="Arial Narrow" w:hAnsi="Arial Narrow"/>
        </w:rPr>
        <w:t>es</w:t>
      </w:r>
      <w:proofErr w:type="gramEnd"/>
      <w:r w:rsidR="00EC6C00" w:rsidRPr="00EC6C00">
        <w:rPr>
          <w:rFonts w:ascii="Arial Narrow" w:hAnsi="Arial Narrow"/>
        </w:rPr>
        <w:t xml:space="preserve"> la tarifa aplicable al consumidor</w:t>
      </w:r>
      <m:oMath>
        <m:r>
          <w:rPr>
            <w:rFonts w:ascii="Cambria Math" w:hAnsi="Cambria Math"/>
          </w:rPr>
          <m:t> i </m:t>
        </m:r>
      </m:oMath>
      <w:r w:rsidR="00EC6C00" w:rsidRPr="00EC6C00">
        <w:rPr>
          <w:rFonts w:ascii="Arial Narrow" w:hAnsi="Arial Narrow"/>
        </w:rPr>
        <w:t xml:space="preserve">conectado en el nivel de tensión </w:t>
      </w:r>
      <m:oMath>
        <m:r>
          <w:rPr>
            <w:rFonts w:ascii="Cambria Math" w:hAnsi="Cambria Math"/>
          </w:rPr>
          <m:t>j</m:t>
        </m:r>
      </m:oMath>
    </w:p>
    <w:p w14:paraId="5E0FB74A" w14:textId="4BEFA9DC" w:rsidR="00EC6C00" w:rsidRPr="00EC6C00" w:rsidRDefault="00EC6C00" w:rsidP="00EC6C00">
      <w:pPr>
        <w:spacing w:after="0" w:line="240" w:lineRule="auto"/>
        <w:ind w:left="708"/>
        <w:jc w:val="both"/>
        <w:rPr>
          <w:rFonts w:ascii="Arial Narrow" w:hAnsi="Arial Narrow"/>
        </w:rPr>
      </w:pPr>
      <m:oMath>
        <m:r>
          <w:rPr>
            <w:rFonts w:ascii="Cambria Math" w:hAnsi="Cambria Math"/>
          </w:rPr>
          <m:t>IRn</m:t>
        </m:r>
      </m:oMath>
      <w:r w:rsidRPr="00EC6C00">
        <w:rPr>
          <w:rFonts w:ascii="Arial Narrow" w:hAnsi="Arial Narrow"/>
        </w:rPr>
        <w:t xml:space="preserve"> </w:t>
      </w:r>
      <w:proofErr w:type="gramStart"/>
      <w:r w:rsidRPr="00EC6C00">
        <w:rPr>
          <w:rFonts w:ascii="Arial Narrow" w:hAnsi="Arial Narrow"/>
        </w:rPr>
        <w:t>es</w:t>
      </w:r>
      <w:proofErr w:type="gramEnd"/>
      <w:r w:rsidRPr="00EC6C00">
        <w:rPr>
          <w:rFonts w:ascii="Arial Narrow" w:hAnsi="Arial Narrow"/>
        </w:rPr>
        <w:t xml:space="preserve"> el ingreso requerido </w:t>
      </w:r>
      <w:r>
        <w:rPr>
          <w:rFonts w:ascii="Arial Narrow" w:hAnsi="Arial Narrow"/>
        </w:rPr>
        <w:t xml:space="preserve">calculado en el punto </w:t>
      </w:r>
      <w:r w:rsidR="00295366">
        <w:rPr>
          <w:rFonts w:ascii="Arial Narrow" w:hAnsi="Arial Narrow"/>
        </w:rPr>
        <w:fldChar w:fldCharType="begin"/>
      </w:r>
      <w:r w:rsidR="00295366">
        <w:rPr>
          <w:rFonts w:ascii="Arial Narrow" w:hAnsi="Arial Narrow"/>
        </w:rPr>
        <w:instrText xml:space="preserve"> REF _Ref435035035 \r \h </w:instrText>
      </w:r>
      <w:r w:rsidR="00295366">
        <w:rPr>
          <w:rFonts w:ascii="Arial Narrow" w:hAnsi="Arial Narrow"/>
        </w:rPr>
      </w:r>
      <w:r w:rsidR="00295366">
        <w:rPr>
          <w:rFonts w:ascii="Arial Narrow" w:hAnsi="Arial Narrow"/>
        </w:rPr>
        <w:fldChar w:fldCharType="separate"/>
      </w:r>
      <w:r w:rsidR="00EE7C88">
        <w:rPr>
          <w:rFonts w:ascii="Arial Narrow" w:hAnsi="Arial Narrow"/>
        </w:rPr>
        <w:t>2</w:t>
      </w:r>
      <w:r w:rsidR="00295366">
        <w:rPr>
          <w:rFonts w:ascii="Arial Narrow" w:hAnsi="Arial Narrow"/>
        </w:rPr>
        <w:fldChar w:fldCharType="end"/>
      </w:r>
      <w:r>
        <w:rPr>
          <w:rFonts w:ascii="Arial Narrow" w:hAnsi="Arial Narrow"/>
        </w:rPr>
        <w:t xml:space="preserve"> de éste documento.</w:t>
      </w:r>
      <w:r w:rsidRPr="00EC6C00">
        <w:rPr>
          <w:rFonts w:ascii="Arial Narrow" w:hAnsi="Arial Narrow"/>
        </w:rPr>
        <w:t xml:space="preserve"> </w:t>
      </w:r>
    </w:p>
    <w:p w14:paraId="1BF77E28" w14:textId="68D706B6" w:rsidR="00EC6C00" w:rsidRPr="00EC6C00" w:rsidRDefault="00794C0E" w:rsidP="00EC6C00">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FPd</m:t>
            </m:r>
          </m:e>
          <m:sub>
            <m:r>
              <w:rPr>
                <w:rFonts w:ascii="Cambria Math" w:hAnsi="Cambria Math"/>
              </w:rPr>
              <m:t>i,j</m:t>
            </m:r>
          </m:sub>
        </m:sSub>
        <m:r>
          <m:rPr>
            <m:sty m:val="p"/>
          </m:rPr>
          <w:rPr>
            <w:rFonts w:ascii="Cambria Math" w:hAnsi="Cambria Math"/>
          </w:rPr>
          <m:t> </m:t>
        </m:r>
      </m:oMath>
      <w:proofErr w:type="gramStart"/>
      <w:r w:rsidR="00EC6C00" w:rsidRPr="00EC6C00">
        <w:rPr>
          <w:rFonts w:ascii="Arial Narrow" w:hAnsi="Arial Narrow"/>
        </w:rPr>
        <w:t>es</w:t>
      </w:r>
      <w:proofErr w:type="gramEnd"/>
      <w:r w:rsidR="00EC6C00" w:rsidRPr="00EC6C00">
        <w:rPr>
          <w:rFonts w:ascii="Arial Narrow" w:hAnsi="Arial Narrow"/>
        </w:rPr>
        <w:t xml:space="preserve"> el factor de ponderación del nivel de tensión</w:t>
      </w:r>
      <m:oMath>
        <m:r>
          <w:rPr>
            <w:rFonts w:ascii="Cambria Math" w:hAnsi="Cambria Math"/>
          </w:rPr>
          <m:t> j </m:t>
        </m:r>
      </m:oMath>
      <w:r w:rsidR="00EC6C00" w:rsidRPr="00EC6C00">
        <w:rPr>
          <w:rFonts w:ascii="Arial Narrow" w:hAnsi="Arial Narrow"/>
        </w:rPr>
        <w:t>al cual se encuentra conectada la demanda</w:t>
      </w:r>
    </w:p>
    <w:p w14:paraId="7A3B63AB" w14:textId="77777777" w:rsidR="00295366" w:rsidRPr="00EC6C00" w:rsidRDefault="00794C0E" w:rsidP="00295366">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MWhd</m:t>
            </m:r>
          </m:e>
          <m:sub>
            <m:r>
              <w:rPr>
                <w:rFonts w:ascii="Cambria Math" w:hAnsi="Cambria Math"/>
              </w:rPr>
              <m:t>i.j</m:t>
            </m:r>
          </m:sub>
        </m:sSub>
      </m:oMath>
      <w:r w:rsidR="00EC6C00" w:rsidRPr="00EC6C00">
        <w:rPr>
          <w:rFonts w:ascii="Arial Narrow" w:hAnsi="Arial Narrow"/>
        </w:rPr>
        <w:t xml:space="preserve"> </w:t>
      </w:r>
      <w:proofErr w:type="gramStart"/>
      <w:r w:rsidR="00EC6C00" w:rsidRPr="00EC6C00">
        <w:rPr>
          <w:rFonts w:ascii="Arial Narrow" w:hAnsi="Arial Narrow"/>
        </w:rPr>
        <w:t>es</w:t>
      </w:r>
      <w:proofErr w:type="gramEnd"/>
      <w:r w:rsidR="00EC6C00" w:rsidRPr="00EC6C00">
        <w:rPr>
          <w:rFonts w:ascii="Arial Narrow" w:hAnsi="Arial Narrow"/>
        </w:rPr>
        <w:t xml:space="preserve"> la extracción de energía del usuario </w:t>
      </w:r>
      <m:oMath>
        <m:r>
          <w:rPr>
            <w:rFonts w:ascii="Cambria Math" w:hAnsi="Cambria Math"/>
          </w:rPr>
          <m:t>i </m:t>
        </m:r>
      </m:oMath>
      <w:r w:rsidR="00295366" w:rsidRPr="00EC6C00">
        <w:rPr>
          <w:rFonts w:ascii="Arial Narrow" w:hAnsi="Arial Narrow"/>
        </w:rPr>
        <w:t xml:space="preserve">conectado en el nivel de tensión </w:t>
      </w:r>
      <m:oMath>
        <m:r>
          <w:rPr>
            <w:rFonts w:ascii="Cambria Math" w:hAnsi="Cambria Math"/>
          </w:rPr>
          <m:t>j</m:t>
        </m:r>
      </m:oMath>
    </w:p>
    <w:p w14:paraId="6950773B" w14:textId="7DB4A2B3" w:rsidR="00EC6C00" w:rsidRPr="00EC6C00" w:rsidRDefault="00794C0E" w:rsidP="00EC6C00">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MWhd</m:t>
            </m:r>
          </m:e>
          <m:sub>
            <m:r>
              <w:rPr>
                <w:rFonts w:ascii="Cambria Math" w:hAnsi="Cambria Math"/>
              </w:rPr>
              <m:t>k,j</m:t>
            </m:r>
          </m:sub>
        </m:sSub>
      </m:oMath>
      <w:r w:rsidR="00EC6C00" w:rsidRPr="00EC6C00">
        <w:rPr>
          <w:rFonts w:ascii="Arial Narrow" w:hAnsi="Arial Narrow"/>
        </w:rPr>
        <w:t xml:space="preserve"> </w:t>
      </w:r>
      <w:proofErr w:type="gramStart"/>
      <w:r w:rsidR="00EC6C00" w:rsidRPr="00EC6C00">
        <w:rPr>
          <w:rFonts w:ascii="Arial Narrow" w:hAnsi="Arial Narrow"/>
        </w:rPr>
        <w:t>es</w:t>
      </w:r>
      <w:proofErr w:type="gramEnd"/>
      <w:r w:rsidR="00EC6C00" w:rsidRPr="00EC6C00">
        <w:rPr>
          <w:rFonts w:ascii="Arial Narrow" w:hAnsi="Arial Narrow"/>
        </w:rPr>
        <w:t xml:space="preserve"> la demanda de energía del resto los consumidores</w:t>
      </w:r>
      <w:r w:rsidR="00295366">
        <w:rPr>
          <w:rFonts w:ascii="Arial Narrow" w:hAnsi="Arial Narrow"/>
        </w:rPr>
        <w:t xml:space="preserve"> (</w:t>
      </w:r>
      <m:oMath>
        <m:r>
          <w:rPr>
            <w:rFonts w:ascii="Cambria Math" w:hAnsi="Cambria Math"/>
          </w:rPr>
          <m:t>k)</m:t>
        </m:r>
      </m:oMath>
      <w:r w:rsidR="00295366">
        <w:rPr>
          <w:rFonts w:ascii="Arial Narrow" w:eastAsiaTheme="minorEastAsia" w:hAnsi="Arial Narrow"/>
        </w:rPr>
        <w:t xml:space="preserve"> en el nivel de tensión </w:t>
      </w:r>
      <m:oMath>
        <m:r>
          <w:rPr>
            <w:rFonts w:ascii="Cambria Math" w:hAnsi="Cambria Math"/>
          </w:rPr>
          <m:t>j</m:t>
        </m:r>
      </m:oMath>
    </w:p>
    <w:p w14:paraId="4EFAF018" w14:textId="350BB768" w:rsidR="00EC6C00" w:rsidRPr="00EC6C00" w:rsidRDefault="00794C0E" w:rsidP="00EC6C00">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Tg</m:t>
            </m:r>
          </m:e>
          <m:sub>
            <m:r>
              <w:rPr>
                <w:rFonts w:ascii="Cambria Math" w:hAnsi="Cambria Math"/>
              </w:rPr>
              <m:t>i,j</m:t>
            </m:r>
          </m:sub>
        </m:sSub>
      </m:oMath>
      <w:r w:rsidR="00EC6C00" w:rsidRPr="00EC6C00">
        <w:rPr>
          <w:rFonts w:ascii="Arial Narrow" w:hAnsi="Arial Narrow"/>
        </w:rPr>
        <w:t xml:space="preserve"> </w:t>
      </w:r>
      <w:proofErr w:type="gramStart"/>
      <w:r w:rsidR="00EC6C00" w:rsidRPr="00EC6C00">
        <w:rPr>
          <w:rFonts w:ascii="Arial Narrow" w:hAnsi="Arial Narrow"/>
        </w:rPr>
        <w:t>es</w:t>
      </w:r>
      <w:proofErr w:type="gramEnd"/>
      <w:r w:rsidR="00EC6C00" w:rsidRPr="00EC6C00">
        <w:rPr>
          <w:rFonts w:ascii="Arial Narrow" w:hAnsi="Arial Narrow"/>
        </w:rPr>
        <w:t xml:space="preserve"> la tarifa aplicable a</w:t>
      </w:r>
      <w:r w:rsidR="00C37A0E">
        <w:rPr>
          <w:rFonts w:ascii="Arial Narrow" w:hAnsi="Arial Narrow"/>
        </w:rPr>
        <w:t>l</w:t>
      </w:r>
      <w:r w:rsidR="00EC6C00" w:rsidRPr="00EC6C00">
        <w:rPr>
          <w:rFonts w:ascii="Arial Narrow" w:hAnsi="Arial Narrow"/>
        </w:rPr>
        <w:t xml:space="preserve"> generador</w:t>
      </w:r>
      <m:oMath>
        <m:r>
          <w:rPr>
            <w:rFonts w:ascii="Cambria Math" w:hAnsi="Cambria Math"/>
          </w:rPr>
          <m:t> i </m:t>
        </m:r>
      </m:oMath>
      <w:r w:rsidR="00EC6C00" w:rsidRPr="00EC6C00">
        <w:rPr>
          <w:rFonts w:ascii="Arial Narrow" w:hAnsi="Arial Narrow"/>
        </w:rPr>
        <w:t xml:space="preserve">conectado en el nivel de tensión </w:t>
      </w:r>
      <m:oMath>
        <m:r>
          <w:rPr>
            <w:rFonts w:ascii="Cambria Math" w:hAnsi="Cambria Math"/>
          </w:rPr>
          <m:t>j</m:t>
        </m:r>
      </m:oMath>
    </w:p>
    <w:p w14:paraId="0BD9AFF9" w14:textId="00A879CD" w:rsidR="00EC6C00" w:rsidRPr="00EC6C00" w:rsidRDefault="00794C0E" w:rsidP="00EC6C00">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FPg</m:t>
            </m:r>
          </m:e>
          <m:sub>
            <m:r>
              <w:rPr>
                <w:rFonts w:ascii="Cambria Math" w:hAnsi="Cambria Math"/>
              </w:rPr>
              <m:t>i,j</m:t>
            </m:r>
          </m:sub>
        </m:sSub>
        <m:r>
          <m:rPr>
            <m:sty m:val="p"/>
          </m:rPr>
          <w:rPr>
            <w:rFonts w:ascii="Cambria Math" w:hAnsi="Cambria Math"/>
          </w:rPr>
          <m:t> </m:t>
        </m:r>
      </m:oMath>
      <w:proofErr w:type="gramStart"/>
      <w:r w:rsidR="00EC6C00" w:rsidRPr="00EC6C00">
        <w:rPr>
          <w:rFonts w:ascii="Arial Narrow" w:hAnsi="Arial Narrow"/>
        </w:rPr>
        <w:t>es</w:t>
      </w:r>
      <w:proofErr w:type="gramEnd"/>
      <w:r w:rsidR="00EC6C00" w:rsidRPr="00EC6C00">
        <w:rPr>
          <w:rFonts w:ascii="Arial Narrow" w:hAnsi="Arial Narrow"/>
        </w:rPr>
        <w:t xml:space="preserve"> el factor de ponderación del nivel de tensión</w:t>
      </w:r>
      <m:oMath>
        <m:r>
          <w:rPr>
            <w:rFonts w:ascii="Cambria Math" w:hAnsi="Cambria Math"/>
          </w:rPr>
          <m:t> j </m:t>
        </m:r>
      </m:oMath>
      <w:r w:rsidR="00EC6C00" w:rsidRPr="00EC6C00">
        <w:rPr>
          <w:rFonts w:ascii="Arial Narrow" w:hAnsi="Arial Narrow"/>
        </w:rPr>
        <w:t>al cual se encuentra conectado el generador</w:t>
      </w:r>
    </w:p>
    <w:p w14:paraId="3940A279" w14:textId="348D9DB4" w:rsidR="00EC6C00" w:rsidRPr="00EC6C00" w:rsidRDefault="00794C0E" w:rsidP="00EC6C00">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MWhg</m:t>
            </m:r>
          </m:e>
          <m:sub>
            <m:r>
              <w:rPr>
                <w:rFonts w:ascii="Cambria Math" w:hAnsi="Cambria Math"/>
              </w:rPr>
              <m:t>i,j</m:t>
            </m:r>
          </m:sub>
        </m:sSub>
      </m:oMath>
      <w:r w:rsidR="00EC6C00" w:rsidRPr="00EC6C00">
        <w:rPr>
          <w:rFonts w:ascii="Arial Narrow" w:hAnsi="Arial Narrow"/>
        </w:rPr>
        <w:t xml:space="preserve"> </w:t>
      </w:r>
      <w:proofErr w:type="gramStart"/>
      <w:r w:rsidR="00EC6C00" w:rsidRPr="00EC6C00">
        <w:rPr>
          <w:rFonts w:ascii="Arial Narrow" w:hAnsi="Arial Narrow"/>
        </w:rPr>
        <w:t>es</w:t>
      </w:r>
      <w:proofErr w:type="gramEnd"/>
      <w:r w:rsidR="00EC6C00" w:rsidRPr="00EC6C00">
        <w:rPr>
          <w:rFonts w:ascii="Arial Narrow" w:hAnsi="Arial Narrow"/>
        </w:rPr>
        <w:t xml:space="preserve"> la inyección de energía del generador</w:t>
      </w:r>
      <w:r w:rsidR="00C37A0E">
        <w:rPr>
          <w:rFonts w:ascii="Arial Narrow" w:hAnsi="Arial Narrow"/>
        </w:rPr>
        <w:t xml:space="preserve"> </w:t>
      </w:r>
      <m:oMath>
        <m:r>
          <w:rPr>
            <w:rFonts w:ascii="Cambria Math" w:hAnsi="Cambria Math"/>
          </w:rPr>
          <m:t>i </m:t>
        </m:r>
      </m:oMath>
      <w:r w:rsidR="00C37A0E" w:rsidRPr="00EC6C00">
        <w:rPr>
          <w:rFonts w:ascii="Arial Narrow" w:hAnsi="Arial Narrow"/>
        </w:rPr>
        <w:t xml:space="preserve">conectado en el nivel de tensión </w:t>
      </w:r>
      <m:oMath>
        <m:r>
          <w:rPr>
            <w:rFonts w:ascii="Cambria Math" w:hAnsi="Cambria Math"/>
          </w:rPr>
          <m:t>j</m:t>
        </m:r>
      </m:oMath>
    </w:p>
    <w:p w14:paraId="456AEBE3" w14:textId="77777777" w:rsidR="00C37A0E" w:rsidRPr="00EC6C00" w:rsidRDefault="00794C0E" w:rsidP="00C37A0E">
      <w:pPr>
        <w:spacing w:after="0" w:line="240" w:lineRule="auto"/>
        <w:ind w:left="708"/>
        <w:jc w:val="both"/>
        <w:rPr>
          <w:rFonts w:ascii="Arial Narrow" w:hAnsi="Arial Narrow"/>
        </w:rPr>
      </w:pPr>
      <m:oMath>
        <m:sSub>
          <m:sSubPr>
            <m:ctrlPr>
              <w:rPr>
                <w:rFonts w:ascii="Cambria Math" w:hAnsi="Cambria Math"/>
                <w:i/>
                <w:iCs/>
              </w:rPr>
            </m:ctrlPr>
          </m:sSubPr>
          <m:e>
            <m:r>
              <w:rPr>
                <w:rFonts w:ascii="Cambria Math" w:hAnsi="Cambria Math"/>
              </w:rPr>
              <m:t>MWhd</m:t>
            </m:r>
          </m:e>
          <m:sub>
            <m:r>
              <w:rPr>
                <w:rFonts w:ascii="Cambria Math" w:hAnsi="Cambria Math"/>
              </w:rPr>
              <m:t>k,j</m:t>
            </m:r>
          </m:sub>
        </m:sSub>
      </m:oMath>
      <w:r w:rsidR="00EC6C00" w:rsidRPr="00EC6C00">
        <w:rPr>
          <w:rFonts w:ascii="Arial Narrow" w:hAnsi="Arial Narrow"/>
        </w:rPr>
        <w:t xml:space="preserve"> </w:t>
      </w:r>
      <w:proofErr w:type="gramStart"/>
      <w:r w:rsidR="00EC6C00" w:rsidRPr="00EC6C00">
        <w:rPr>
          <w:rFonts w:ascii="Arial Narrow" w:hAnsi="Arial Narrow"/>
        </w:rPr>
        <w:t>es</w:t>
      </w:r>
      <w:proofErr w:type="gramEnd"/>
      <w:r w:rsidR="00EC6C00" w:rsidRPr="00EC6C00">
        <w:rPr>
          <w:rFonts w:ascii="Arial Narrow" w:hAnsi="Arial Narrow"/>
        </w:rPr>
        <w:t xml:space="preserve"> la generación total inyectada a la red p</w:t>
      </w:r>
      <w:proofErr w:type="spellStart"/>
      <w:r w:rsidR="00C37A0E">
        <w:rPr>
          <w:rFonts w:ascii="Arial Narrow" w:hAnsi="Arial Narrow"/>
        </w:rPr>
        <w:t>or</w:t>
      </w:r>
      <w:proofErr w:type="spellEnd"/>
      <w:r w:rsidR="00C37A0E">
        <w:rPr>
          <w:rFonts w:ascii="Arial Narrow" w:hAnsi="Arial Narrow"/>
        </w:rPr>
        <w:t xml:space="preserve"> el resto de los generadores (</w:t>
      </w:r>
      <m:oMath>
        <m:r>
          <w:rPr>
            <w:rFonts w:ascii="Cambria Math" w:hAnsi="Cambria Math"/>
          </w:rPr>
          <m:t>k)</m:t>
        </m:r>
      </m:oMath>
      <w:r w:rsidR="00C37A0E">
        <w:rPr>
          <w:rFonts w:ascii="Arial Narrow" w:eastAsiaTheme="minorEastAsia" w:hAnsi="Arial Narrow"/>
        </w:rPr>
        <w:t xml:space="preserve"> en el nivel de tensión </w:t>
      </w:r>
      <m:oMath>
        <m:r>
          <w:rPr>
            <w:rFonts w:ascii="Cambria Math" w:hAnsi="Cambria Math"/>
          </w:rPr>
          <m:t>j</m:t>
        </m:r>
      </m:oMath>
    </w:p>
    <w:p w14:paraId="7FA5CC94" w14:textId="2111DD7E" w:rsidR="00EC6C00" w:rsidRPr="00EC6C00" w:rsidRDefault="00EC6C00" w:rsidP="00EC6C00">
      <w:pPr>
        <w:spacing w:after="0" w:line="240" w:lineRule="auto"/>
        <w:ind w:left="708"/>
        <w:jc w:val="both"/>
        <w:rPr>
          <w:rFonts w:ascii="Arial Narrow" w:hAnsi="Arial Narrow"/>
        </w:rPr>
      </w:pPr>
    </w:p>
    <w:p w14:paraId="16A634B1" w14:textId="77777777" w:rsidR="00F72B24" w:rsidRDefault="00F72B24" w:rsidP="00EC2A55">
      <w:pPr>
        <w:spacing w:after="0" w:line="240" w:lineRule="auto"/>
        <w:jc w:val="both"/>
        <w:rPr>
          <w:rFonts w:ascii="Arial Narrow" w:hAnsi="Arial Narrow"/>
        </w:rPr>
      </w:pPr>
    </w:p>
    <w:p w14:paraId="01402593" w14:textId="777D9D7C" w:rsidR="007F37D4" w:rsidRDefault="00F72B24" w:rsidP="002E7E69">
      <w:pPr>
        <w:spacing w:after="0"/>
        <w:jc w:val="both"/>
        <w:rPr>
          <w:rFonts w:ascii="Arial Narrow" w:hAnsi="Arial Narrow"/>
        </w:rPr>
      </w:pPr>
      <w:r>
        <w:rPr>
          <w:rFonts w:ascii="Arial Narrow" w:hAnsi="Arial Narrow"/>
        </w:rPr>
        <w:t>Finalmente, a</w:t>
      </w:r>
      <w:r w:rsidR="007F37D4">
        <w:rPr>
          <w:rFonts w:ascii="Arial Narrow" w:hAnsi="Arial Narrow"/>
        </w:rPr>
        <w:t xml:space="preserve"> partir del Ingreso Requerido obtenido en </w:t>
      </w:r>
      <w:r w:rsidR="00583C93">
        <w:rPr>
          <w:rFonts w:ascii="Arial Narrow" w:hAnsi="Arial Narrow"/>
        </w:rPr>
        <w:t xml:space="preserve">el punto </w:t>
      </w:r>
      <w:r w:rsidR="00583C93">
        <w:rPr>
          <w:rFonts w:ascii="Arial Narrow" w:hAnsi="Arial Narrow"/>
        </w:rPr>
        <w:fldChar w:fldCharType="begin"/>
      </w:r>
      <w:r w:rsidR="00583C93">
        <w:rPr>
          <w:rFonts w:ascii="Arial Narrow" w:hAnsi="Arial Narrow"/>
        </w:rPr>
        <w:instrText xml:space="preserve"> REF _Ref433735532 \r \h </w:instrText>
      </w:r>
      <w:r w:rsidR="00583C93">
        <w:rPr>
          <w:rFonts w:ascii="Arial Narrow" w:hAnsi="Arial Narrow"/>
        </w:rPr>
      </w:r>
      <w:r w:rsidR="00583C93">
        <w:rPr>
          <w:rFonts w:ascii="Arial Narrow" w:hAnsi="Arial Narrow"/>
        </w:rPr>
        <w:fldChar w:fldCharType="separate"/>
      </w:r>
      <w:r w:rsidR="00EE7C88">
        <w:rPr>
          <w:rFonts w:ascii="Arial Narrow" w:hAnsi="Arial Narrow"/>
        </w:rPr>
        <w:t>2.3</w:t>
      </w:r>
      <w:r w:rsidR="00583C93">
        <w:rPr>
          <w:rFonts w:ascii="Arial Narrow" w:hAnsi="Arial Narrow"/>
        </w:rPr>
        <w:fldChar w:fldCharType="end"/>
      </w:r>
      <w:r w:rsidR="00583C93">
        <w:rPr>
          <w:rFonts w:ascii="Arial Narrow" w:hAnsi="Arial Narrow"/>
        </w:rPr>
        <w:t xml:space="preserve"> </w:t>
      </w:r>
      <w:r>
        <w:rPr>
          <w:rFonts w:ascii="Arial Narrow" w:hAnsi="Arial Narrow"/>
        </w:rPr>
        <w:t xml:space="preserve">de este documento, </w:t>
      </w:r>
      <w:r w:rsidR="007F37D4">
        <w:rPr>
          <w:rFonts w:ascii="Arial Narrow" w:hAnsi="Arial Narrow"/>
        </w:rPr>
        <w:t xml:space="preserve">las proyecciones de energía expuestas en </w:t>
      </w:r>
      <w:r>
        <w:rPr>
          <w:rFonts w:ascii="Arial Narrow" w:hAnsi="Arial Narrow"/>
        </w:rPr>
        <w:t>el punto</w:t>
      </w:r>
      <w:r w:rsidR="00583C93">
        <w:rPr>
          <w:rFonts w:ascii="Arial Narrow" w:hAnsi="Arial Narrow"/>
        </w:rPr>
        <w:t xml:space="preserve"> </w:t>
      </w:r>
      <w:r w:rsidR="00583C93">
        <w:rPr>
          <w:rFonts w:ascii="Arial Narrow" w:hAnsi="Arial Narrow"/>
        </w:rPr>
        <w:fldChar w:fldCharType="begin"/>
      </w:r>
      <w:r w:rsidR="00583C93">
        <w:rPr>
          <w:rFonts w:ascii="Arial Narrow" w:hAnsi="Arial Narrow"/>
        </w:rPr>
        <w:instrText xml:space="preserve"> REF _Ref433301041 \r \h </w:instrText>
      </w:r>
      <w:r w:rsidR="00583C93">
        <w:rPr>
          <w:rFonts w:ascii="Arial Narrow" w:hAnsi="Arial Narrow"/>
        </w:rPr>
      </w:r>
      <w:r w:rsidR="00583C93">
        <w:rPr>
          <w:rFonts w:ascii="Arial Narrow" w:hAnsi="Arial Narrow"/>
        </w:rPr>
        <w:fldChar w:fldCharType="separate"/>
      </w:r>
      <w:r w:rsidR="00EE7C88">
        <w:rPr>
          <w:rFonts w:ascii="Arial Narrow" w:hAnsi="Arial Narrow"/>
        </w:rPr>
        <w:t>3</w:t>
      </w:r>
      <w:r w:rsidR="00583C93">
        <w:rPr>
          <w:rFonts w:ascii="Arial Narrow" w:hAnsi="Arial Narrow"/>
        </w:rPr>
        <w:fldChar w:fldCharType="end"/>
      </w:r>
      <w:r w:rsidR="00C37A0E">
        <w:rPr>
          <w:rFonts w:ascii="Arial Narrow" w:hAnsi="Arial Narrow"/>
        </w:rPr>
        <w:t xml:space="preserve"> y</w:t>
      </w:r>
      <w:r>
        <w:rPr>
          <w:rFonts w:ascii="Arial Narrow" w:hAnsi="Arial Narrow"/>
        </w:rPr>
        <w:t xml:space="preserve"> l</w:t>
      </w:r>
      <w:r w:rsidR="005D49DE">
        <w:rPr>
          <w:rFonts w:ascii="Arial Narrow" w:hAnsi="Arial Narrow"/>
        </w:rPr>
        <w:t xml:space="preserve">os factores de ponderación de la </w:t>
      </w:r>
      <w:r w:rsidR="005D49DE" w:rsidRPr="005D49DE">
        <w:rPr>
          <w:rFonts w:ascii="Arial Narrow" w:hAnsi="Arial Narrow"/>
        </w:rPr>
        <w:fldChar w:fldCharType="begin"/>
      </w:r>
      <w:r w:rsidR="005D49DE" w:rsidRPr="005D49DE">
        <w:rPr>
          <w:rFonts w:ascii="Arial Narrow" w:hAnsi="Arial Narrow"/>
        </w:rPr>
        <w:instrText xml:space="preserve"> REF _Ref435094457 \h  \* MERGEFORMAT </w:instrText>
      </w:r>
      <w:r w:rsidR="005D49DE" w:rsidRPr="005D49DE">
        <w:rPr>
          <w:rFonts w:ascii="Arial Narrow" w:hAnsi="Arial Narrow"/>
        </w:rPr>
      </w:r>
      <w:r w:rsidR="005D49DE" w:rsidRPr="005D49DE">
        <w:rPr>
          <w:rFonts w:ascii="Arial Narrow" w:hAnsi="Arial Narrow"/>
        </w:rPr>
        <w:fldChar w:fldCharType="separate"/>
      </w:r>
      <w:r w:rsidR="00EE7C88" w:rsidRPr="00EE7C88">
        <w:rPr>
          <w:rFonts w:ascii="Arial Narrow" w:hAnsi="Arial Narrow"/>
        </w:rPr>
        <w:t xml:space="preserve">Tabla </w:t>
      </w:r>
      <w:r w:rsidR="00EE7C88" w:rsidRPr="00EE7C88">
        <w:rPr>
          <w:rFonts w:ascii="Arial Narrow" w:hAnsi="Arial Narrow"/>
          <w:noProof/>
        </w:rPr>
        <w:t>6</w:t>
      </w:r>
      <w:r w:rsidR="005D49DE" w:rsidRPr="005D49DE">
        <w:rPr>
          <w:rFonts w:ascii="Arial Narrow" w:hAnsi="Arial Narrow"/>
        </w:rPr>
        <w:fldChar w:fldCharType="end"/>
      </w:r>
      <w:r>
        <w:rPr>
          <w:rFonts w:ascii="Arial Narrow" w:hAnsi="Arial Narrow"/>
        </w:rPr>
        <w:t xml:space="preserve">, se obtuvieron las </w:t>
      </w:r>
      <w:r w:rsidR="00C37A0E">
        <w:rPr>
          <w:rFonts w:ascii="Arial Narrow" w:hAnsi="Arial Narrow"/>
        </w:rPr>
        <w:t xml:space="preserve">siguientes </w:t>
      </w:r>
      <w:r>
        <w:rPr>
          <w:rFonts w:ascii="Arial Narrow" w:hAnsi="Arial Narrow"/>
        </w:rPr>
        <w:t xml:space="preserve">tarifas aplicables en 2016 para los servicios de </w:t>
      </w:r>
      <w:r w:rsidR="003A480C">
        <w:rPr>
          <w:rFonts w:ascii="Arial Narrow" w:hAnsi="Arial Narrow"/>
        </w:rPr>
        <w:t>t</w:t>
      </w:r>
      <w:r>
        <w:rPr>
          <w:rFonts w:ascii="Arial Narrow" w:hAnsi="Arial Narrow"/>
        </w:rPr>
        <w:t>ransmisión de energía eléctrica:</w:t>
      </w:r>
    </w:p>
    <w:p w14:paraId="14EE1F85" w14:textId="77777777" w:rsidR="00FA659C" w:rsidRDefault="00FA659C" w:rsidP="00EC2A55">
      <w:pPr>
        <w:spacing w:after="0" w:line="240" w:lineRule="auto"/>
        <w:jc w:val="both"/>
        <w:rPr>
          <w:rFonts w:ascii="Arial Narrow" w:hAnsi="Arial Narrow"/>
        </w:rPr>
      </w:pPr>
    </w:p>
    <w:p w14:paraId="6143EA0C" w14:textId="77777777" w:rsidR="00C37A0E" w:rsidRPr="00D863C7" w:rsidRDefault="00C37A0E" w:rsidP="00C37A0E">
      <w:pPr>
        <w:pStyle w:val="Descripcin"/>
        <w:jc w:val="center"/>
        <w:rPr>
          <w:sz w:val="20"/>
        </w:rPr>
      </w:pPr>
      <w:r w:rsidRPr="00D863C7">
        <w:rPr>
          <w:sz w:val="20"/>
        </w:rPr>
        <w:t xml:space="preserve">Tabla </w:t>
      </w:r>
      <w:r w:rsidRPr="00D863C7">
        <w:rPr>
          <w:sz w:val="20"/>
        </w:rPr>
        <w:fldChar w:fldCharType="begin"/>
      </w:r>
      <w:r w:rsidRPr="00D863C7">
        <w:rPr>
          <w:sz w:val="20"/>
        </w:rPr>
        <w:instrText xml:space="preserve"> SEQ Tabla \* ARABIC </w:instrText>
      </w:r>
      <w:r w:rsidRPr="00D863C7">
        <w:rPr>
          <w:sz w:val="20"/>
        </w:rPr>
        <w:fldChar w:fldCharType="separate"/>
      </w:r>
      <w:r w:rsidR="00EE7C88">
        <w:rPr>
          <w:noProof/>
          <w:sz w:val="20"/>
        </w:rPr>
        <w:t>7</w:t>
      </w:r>
      <w:r w:rsidRPr="00D863C7">
        <w:rPr>
          <w:sz w:val="20"/>
        </w:rPr>
        <w:fldChar w:fldCharType="end"/>
      </w:r>
      <w:r w:rsidRPr="00D863C7">
        <w:rPr>
          <w:sz w:val="20"/>
        </w:rPr>
        <w:t>. Tarifas de Transmisión de energía eléctrica</w:t>
      </w:r>
    </w:p>
    <w:tbl>
      <w:tblPr>
        <w:tblW w:w="5040" w:type="dxa"/>
        <w:jc w:val="center"/>
        <w:tblCellMar>
          <w:left w:w="0" w:type="dxa"/>
          <w:right w:w="0" w:type="dxa"/>
        </w:tblCellMar>
        <w:tblLook w:val="0600" w:firstRow="0" w:lastRow="0" w:firstColumn="0" w:lastColumn="0" w:noHBand="1" w:noVBand="1"/>
      </w:tblPr>
      <w:tblGrid>
        <w:gridCol w:w="1620"/>
        <w:gridCol w:w="1800"/>
        <w:gridCol w:w="1620"/>
      </w:tblGrid>
      <w:tr w:rsidR="00F72B24" w:rsidRPr="006659D8" w14:paraId="2A5AC7D5" w14:textId="77777777" w:rsidTr="006659D8">
        <w:trPr>
          <w:trHeight w:val="20"/>
          <w:jc w:val="center"/>
        </w:trPr>
        <w:tc>
          <w:tcPr>
            <w:tcW w:w="1620" w:type="dxa"/>
            <w:vMerge w:val="restart"/>
            <w:tcBorders>
              <w:top w:val="single" w:sz="4" w:space="0" w:color="auto"/>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center"/>
            <w:hideMark/>
          </w:tcPr>
          <w:p w14:paraId="29B6E914" w14:textId="77777777" w:rsidR="00F72B24" w:rsidRPr="006659D8" w:rsidRDefault="00F72B24" w:rsidP="00D863C7">
            <w:pPr>
              <w:spacing w:after="0" w:line="240" w:lineRule="auto"/>
              <w:jc w:val="center"/>
              <w:rPr>
                <w:rFonts w:ascii="Arial Narrow" w:hAnsi="Arial Narrow"/>
                <w:color w:val="FFFFFF" w:themeColor="background1"/>
                <w:sz w:val="20"/>
                <w:szCs w:val="16"/>
              </w:rPr>
            </w:pPr>
            <w:r w:rsidRPr="006659D8">
              <w:rPr>
                <w:rFonts w:ascii="Arial Narrow" w:hAnsi="Arial Narrow"/>
                <w:b/>
                <w:bCs/>
                <w:color w:val="FFFFFF" w:themeColor="background1"/>
                <w:sz w:val="20"/>
                <w:szCs w:val="16"/>
              </w:rPr>
              <w:t>Nivel de tensión</w:t>
            </w:r>
          </w:p>
        </w:tc>
        <w:tc>
          <w:tcPr>
            <w:tcW w:w="1800" w:type="dxa"/>
            <w:tcBorders>
              <w:top w:val="single" w:sz="4" w:space="0" w:color="auto"/>
              <w:left w:val="single" w:sz="4" w:space="0" w:color="auto"/>
              <w:bottom w:val="nil"/>
              <w:right w:val="single" w:sz="4" w:space="0" w:color="auto"/>
            </w:tcBorders>
            <w:shd w:val="clear" w:color="auto" w:fill="365F91" w:themeFill="accent1" w:themeFillShade="BF"/>
            <w:tcMar>
              <w:top w:w="15" w:type="dxa"/>
              <w:left w:w="15" w:type="dxa"/>
              <w:bottom w:w="0" w:type="dxa"/>
              <w:right w:w="15" w:type="dxa"/>
            </w:tcMar>
            <w:vAlign w:val="bottom"/>
            <w:hideMark/>
          </w:tcPr>
          <w:p w14:paraId="691869AF" w14:textId="77777777" w:rsidR="00F72B24" w:rsidRPr="006659D8" w:rsidRDefault="00F72B24" w:rsidP="00D863C7">
            <w:pPr>
              <w:spacing w:after="0" w:line="240" w:lineRule="auto"/>
              <w:jc w:val="center"/>
              <w:rPr>
                <w:rFonts w:ascii="Arial Narrow" w:hAnsi="Arial Narrow"/>
                <w:color w:val="FFFFFF" w:themeColor="background1"/>
                <w:sz w:val="20"/>
                <w:szCs w:val="16"/>
              </w:rPr>
            </w:pPr>
            <w:r w:rsidRPr="006659D8">
              <w:rPr>
                <w:rFonts w:ascii="Arial Narrow" w:hAnsi="Arial Narrow"/>
                <w:b/>
                <w:bCs/>
                <w:color w:val="FFFFFF" w:themeColor="background1"/>
                <w:sz w:val="20"/>
                <w:szCs w:val="16"/>
              </w:rPr>
              <w:t>Generadores</w:t>
            </w:r>
          </w:p>
        </w:tc>
        <w:tc>
          <w:tcPr>
            <w:tcW w:w="1620" w:type="dxa"/>
            <w:tcBorders>
              <w:top w:val="single" w:sz="4" w:space="0" w:color="auto"/>
              <w:left w:val="single" w:sz="4" w:space="0" w:color="auto"/>
              <w:bottom w:val="nil"/>
              <w:right w:val="single" w:sz="4" w:space="0" w:color="auto"/>
            </w:tcBorders>
            <w:shd w:val="clear" w:color="auto" w:fill="365F91" w:themeFill="accent1" w:themeFillShade="BF"/>
            <w:tcMar>
              <w:top w:w="15" w:type="dxa"/>
              <w:left w:w="15" w:type="dxa"/>
              <w:bottom w:w="0" w:type="dxa"/>
              <w:right w:w="15" w:type="dxa"/>
            </w:tcMar>
            <w:vAlign w:val="bottom"/>
            <w:hideMark/>
          </w:tcPr>
          <w:p w14:paraId="689B56B8" w14:textId="77777777" w:rsidR="00F72B24" w:rsidRPr="006659D8" w:rsidRDefault="00F72B24" w:rsidP="00D863C7">
            <w:pPr>
              <w:spacing w:after="0" w:line="240" w:lineRule="auto"/>
              <w:jc w:val="center"/>
              <w:rPr>
                <w:rFonts w:ascii="Arial Narrow" w:hAnsi="Arial Narrow"/>
                <w:color w:val="FFFFFF" w:themeColor="background1"/>
                <w:sz w:val="20"/>
                <w:szCs w:val="16"/>
              </w:rPr>
            </w:pPr>
            <w:r w:rsidRPr="006659D8">
              <w:rPr>
                <w:rFonts w:ascii="Arial Narrow" w:hAnsi="Arial Narrow"/>
                <w:b/>
                <w:bCs/>
                <w:color w:val="FFFFFF" w:themeColor="background1"/>
                <w:sz w:val="20"/>
                <w:szCs w:val="16"/>
              </w:rPr>
              <w:t>Consumidores</w:t>
            </w:r>
          </w:p>
        </w:tc>
      </w:tr>
      <w:tr w:rsidR="00F72B24" w:rsidRPr="006659D8" w14:paraId="56D312D9" w14:textId="77777777" w:rsidTr="006659D8">
        <w:trPr>
          <w:trHeight w:val="20"/>
          <w:jc w:val="center"/>
        </w:trPr>
        <w:tc>
          <w:tcPr>
            <w:tcW w:w="1620" w:type="dxa"/>
            <w:vMerge/>
            <w:tcBorders>
              <w:top w:val="dotted" w:sz="4" w:space="0" w:color="000000"/>
              <w:left w:val="single" w:sz="4" w:space="0" w:color="auto"/>
              <w:bottom w:val="single" w:sz="4" w:space="0" w:color="auto"/>
              <w:right w:val="single" w:sz="4" w:space="0" w:color="auto"/>
            </w:tcBorders>
            <w:shd w:val="clear" w:color="auto" w:fill="365F91" w:themeFill="accent1" w:themeFillShade="BF"/>
            <w:vAlign w:val="center"/>
            <w:hideMark/>
          </w:tcPr>
          <w:p w14:paraId="77B0FAEF" w14:textId="77777777" w:rsidR="00F72B24" w:rsidRPr="006659D8" w:rsidRDefault="00F72B24" w:rsidP="00D863C7">
            <w:pPr>
              <w:spacing w:after="0" w:line="240" w:lineRule="auto"/>
              <w:jc w:val="center"/>
              <w:rPr>
                <w:rFonts w:ascii="Arial Narrow" w:hAnsi="Arial Narrow"/>
                <w:color w:val="FFFFFF" w:themeColor="background1"/>
                <w:sz w:val="20"/>
                <w:szCs w:val="16"/>
              </w:rPr>
            </w:pPr>
          </w:p>
        </w:tc>
        <w:tc>
          <w:tcPr>
            <w:tcW w:w="1800" w:type="dxa"/>
            <w:tcBorders>
              <w:top w:val="nil"/>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bottom"/>
            <w:hideMark/>
          </w:tcPr>
          <w:p w14:paraId="5B97AABE" w14:textId="77777777" w:rsidR="00F72B24" w:rsidRPr="006659D8" w:rsidRDefault="00F72B24" w:rsidP="00D863C7">
            <w:pPr>
              <w:spacing w:after="0" w:line="240" w:lineRule="auto"/>
              <w:jc w:val="center"/>
              <w:rPr>
                <w:rFonts w:ascii="Arial Narrow" w:hAnsi="Arial Narrow"/>
                <w:color w:val="FFFFFF" w:themeColor="background1"/>
                <w:sz w:val="20"/>
                <w:szCs w:val="16"/>
              </w:rPr>
            </w:pPr>
            <w:r w:rsidRPr="006659D8">
              <w:rPr>
                <w:rFonts w:ascii="Arial Narrow" w:hAnsi="Arial Narrow"/>
                <w:color w:val="FFFFFF" w:themeColor="background1"/>
                <w:sz w:val="20"/>
                <w:szCs w:val="16"/>
              </w:rPr>
              <w:t>Generadores interconectados</w:t>
            </w:r>
          </w:p>
        </w:tc>
        <w:tc>
          <w:tcPr>
            <w:tcW w:w="1620" w:type="dxa"/>
            <w:tcBorders>
              <w:top w:val="nil"/>
              <w:left w:val="single" w:sz="4" w:space="0" w:color="auto"/>
              <w:bottom w:val="single" w:sz="4" w:space="0" w:color="auto"/>
              <w:right w:val="single" w:sz="4" w:space="0" w:color="auto"/>
            </w:tcBorders>
            <w:shd w:val="clear" w:color="auto" w:fill="365F91" w:themeFill="accent1" w:themeFillShade="BF"/>
            <w:tcMar>
              <w:top w:w="15" w:type="dxa"/>
              <w:left w:w="15" w:type="dxa"/>
              <w:bottom w:w="0" w:type="dxa"/>
              <w:right w:w="15" w:type="dxa"/>
            </w:tcMar>
            <w:vAlign w:val="bottom"/>
            <w:hideMark/>
          </w:tcPr>
          <w:p w14:paraId="647E280B" w14:textId="77777777" w:rsidR="00F72B24" w:rsidRPr="006659D8" w:rsidRDefault="00F72B24" w:rsidP="00D863C7">
            <w:pPr>
              <w:spacing w:after="0" w:line="240" w:lineRule="auto"/>
              <w:jc w:val="center"/>
              <w:rPr>
                <w:rFonts w:ascii="Arial Narrow" w:hAnsi="Arial Narrow"/>
                <w:color w:val="FFFFFF" w:themeColor="background1"/>
                <w:sz w:val="20"/>
                <w:szCs w:val="16"/>
              </w:rPr>
            </w:pPr>
            <w:r w:rsidRPr="006659D8">
              <w:rPr>
                <w:rFonts w:ascii="Arial Narrow" w:hAnsi="Arial Narrow"/>
                <w:color w:val="FFFFFF" w:themeColor="background1"/>
                <w:sz w:val="20"/>
                <w:szCs w:val="16"/>
              </w:rPr>
              <w:t>Servicios de suministro</w:t>
            </w:r>
          </w:p>
        </w:tc>
      </w:tr>
      <w:tr w:rsidR="00D863C7" w:rsidRPr="006659D8" w14:paraId="27677FD4" w14:textId="77777777" w:rsidTr="006659D8">
        <w:trPr>
          <w:trHeight w:val="20"/>
          <w:jc w:val="center"/>
        </w:trPr>
        <w:tc>
          <w:tcPr>
            <w:tcW w:w="5040" w:type="dxa"/>
            <w:gridSpan w:val="3"/>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7A86FB66" w14:textId="77777777" w:rsidR="00D863C7" w:rsidRPr="006659D8" w:rsidRDefault="006659D8" w:rsidP="00D863C7">
            <w:pPr>
              <w:spacing w:after="0" w:line="240" w:lineRule="auto"/>
              <w:jc w:val="center"/>
              <w:rPr>
                <w:rFonts w:ascii="Arial Narrow" w:hAnsi="Arial Narrow"/>
                <w:color w:val="FFFFFF" w:themeColor="background1"/>
                <w:sz w:val="20"/>
                <w:szCs w:val="16"/>
              </w:rPr>
            </w:pPr>
            <w:r>
              <w:rPr>
                <w:rFonts w:ascii="Arial Narrow" w:hAnsi="Arial Narrow"/>
                <w:color w:val="FFFFFF" w:themeColor="background1"/>
                <w:sz w:val="20"/>
                <w:szCs w:val="16"/>
              </w:rPr>
              <w:t>pesos/kWh</w:t>
            </w:r>
          </w:p>
        </w:tc>
      </w:tr>
      <w:tr w:rsidR="00F72B24" w:rsidRPr="006659D8" w14:paraId="63E502D9" w14:textId="77777777" w:rsidTr="006659D8">
        <w:trPr>
          <w:trHeight w:val="20"/>
          <w:jc w:val="center"/>
        </w:trPr>
        <w:tc>
          <w:tcPr>
            <w:tcW w:w="16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489FA096" w14:textId="77777777" w:rsidR="00F72B24" w:rsidRPr="006659D8" w:rsidRDefault="00F72B24" w:rsidP="00F72B24">
            <w:pPr>
              <w:spacing w:after="0" w:line="240" w:lineRule="auto"/>
              <w:jc w:val="both"/>
              <w:rPr>
                <w:rFonts w:ascii="Arial Narrow" w:hAnsi="Arial Narrow"/>
                <w:sz w:val="20"/>
                <w:szCs w:val="16"/>
              </w:rPr>
            </w:pPr>
            <w:r w:rsidRPr="006659D8">
              <w:rPr>
                <w:rFonts w:ascii="Arial Narrow" w:hAnsi="Arial Narrow"/>
                <w:sz w:val="20"/>
                <w:szCs w:val="16"/>
              </w:rPr>
              <w:t>Tensión ≥ 220 kV</w:t>
            </w:r>
          </w:p>
        </w:tc>
        <w:tc>
          <w:tcPr>
            <w:tcW w:w="180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2EE079A7" w14:textId="77777777" w:rsidR="00F72B24" w:rsidRPr="006659D8" w:rsidRDefault="00F72B24" w:rsidP="00D863C7">
            <w:pPr>
              <w:spacing w:after="0" w:line="240" w:lineRule="auto"/>
              <w:jc w:val="center"/>
              <w:rPr>
                <w:rFonts w:ascii="Arial Narrow" w:hAnsi="Arial Narrow"/>
                <w:sz w:val="20"/>
                <w:szCs w:val="16"/>
              </w:rPr>
            </w:pPr>
            <w:r w:rsidRPr="006659D8">
              <w:rPr>
                <w:rFonts w:ascii="Arial Narrow" w:hAnsi="Arial Narrow"/>
                <w:sz w:val="20"/>
                <w:szCs w:val="16"/>
              </w:rPr>
              <w:t>0.0499</w:t>
            </w:r>
          </w:p>
        </w:tc>
        <w:tc>
          <w:tcPr>
            <w:tcW w:w="1620" w:type="dxa"/>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14:paraId="74A7C95E" w14:textId="77777777" w:rsidR="00F72B24" w:rsidRPr="006659D8" w:rsidRDefault="00F72B24" w:rsidP="00D863C7">
            <w:pPr>
              <w:spacing w:after="0" w:line="240" w:lineRule="auto"/>
              <w:jc w:val="center"/>
              <w:rPr>
                <w:rFonts w:ascii="Arial Narrow" w:hAnsi="Arial Narrow"/>
                <w:sz w:val="20"/>
                <w:szCs w:val="16"/>
              </w:rPr>
            </w:pPr>
            <w:r w:rsidRPr="006659D8">
              <w:rPr>
                <w:rFonts w:ascii="Arial Narrow" w:hAnsi="Arial Narrow"/>
                <w:sz w:val="20"/>
                <w:szCs w:val="16"/>
              </w:rPr>
              <w:t>0.0625</w:t>
            </w:r>
          </w:p>
        </w:tc>
      </w:tr>
      <w:tr w:rsidR="00F72B24" w:rsidRPr="006659D8" w14:paraId="6D2DBF83" w14:textId="77777777" w:rsidTr="006659D8">
        <w:trPr>
          <w:trHeight w:val="20"/>
          <w:jc w:val="center"/>
        </w:trPr>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3AB27A8" w14:textId="77777777" w:rsidR="00F72B24" w:rsidRPr="006659D8" w:rsidRDefault="00F72B24" w:rsidP="00F72B24">
            <w:pPr>
              <w:spacing w:after="0" w:line="240" w:lineRule="auto"/>
              <w:jc w:val="both"/>
              <w:rPr>
                <w:rFonts w:ascii="Arial Narrow" w:hAnsi="Arial Narrow"/>
                <w:sz w:val="20"/>
                <w:szCs w:val="16"/>
              </w:rPr>
            </w:pPr>
            <w:r w:rsidRPr="006659D8">
              <w:rPr>
                <w:rFonts w:ascii="Arial Narrow" w:hAnsi="Arial Narrow"/>
                <w:sz w:val="20"/>
                <w:szCs w:val="16"/>
              </w:rPr>
              <w:t>Tensión &lt; a 220 kV</w:t>
            </w:r>
          </w:p>
        </w:tc>
        <w:tc>
          <w:tcPr>
            <w:tcW w:w="180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1D364B" w14:textId="77777777" w:rsidR="00F72B24" w:rsidRPr="006659D8" w:rsidRDefault="00F72B24" w:rsidP="00D863C7">
            <w:pPr>
              <w:spacing w:after="0" w:line="240" w:lineRule="auto"/>
              <w:jc w:val="center"/>
              <w:rPr>
                <w:rFonts w:ascii="Arial Narrow" w:hAnsi="Arial Narrow"/>
                <w:sz w:val="20"/>
                <w:szCs w:val="16"/>
              </w:rPr>
            </w:pPr>
            <w:r w:rsidRPr="006659D8">
              <w:rPr>
                <w:rFonts w:ascii="Arial Narrow" w:hAnsi="Arial Narrow"/>
                <w:sz w:val="20"/>
                <w:szCs w:val="16"/>
              </w:rPr>
              <w:t>0.0904</w:t>
            </w:r>
          </w:p>
        </w:tc>
        <w:tc>
          <w:tcPr>
            <w:tcW w:w="16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3B8A20D" w14:textId="77777777" w:rsidR="00F72B24" w:rsidRPr="006659D8" w:rsidRDefault="00F72B24" w:rsidP="00D863C7">
            <w:pPr>
              <w:spacing w:after="0" w:line="240" w:lineRule="auto"/>
              <w:jc w:val="center"/>
              <w:rPr>
                <w:rFonts w:ascii="Arial Narrow" w:hAnsi="Arial Narrow"/>
                <w:sz w:val="20"/>
                <w:szCs w:val="16"/>
              </w:rPr>
            </w:pPr>
            <w:r w:rsidRPr="006659D8">
              <w:rPr>
                <w:rFonts w:ascii="Arial Narrow" w:hAnsi="Arial Narrow"/>
                <w:sz w:val="20"/>
                <w:szCs w:val="16"/>
              </w:rPr>
              <w:t>0.1424</w:t>
            </w:r>
          </w:p>
        </w:tc>
      </w:tr>
    </w:tbl>
    <w:p w14:paraId="0F18E8EC" w14:textId="7A9FD88F" w:rsidR="00F72B24" w:rsidRPr="00D863C7" w:rsidRDefault="00F72B24" w:rsidP="00C37A0E">
      <w:pPr>
        <w:pStyle w:val="Descripcin"/>
        <w:jc w:val="center"/>
        <w:rPr>
          <w:sz w:val="20"/>
        </w:rPr>
      </w:pPr>
      <w:bookmarkStart w:id="14" w:name="_GoBack"/>
      <w:bookmarkEnd w:id="14"/>
    </w:p>
    <w:sectPr w:rsidR="00F72B24" w:rsidRPr="00D863C7" w:rsidSect="00157B01">
      <w:footerReference w:type="default" r:id="rId9"/>
      <w:headerReference w:type="first" r:id="rId10"/>
      <w:pgSz w:w="12240" w:h="15840" w:code="1"/>
      <w:pgMar w:top="1418" w:right="1183" w:bottom="1418" w:left="1440" w:header="680"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03F21" w14:textId="77777777" w:rsidR="00794C0E" w:rsidRDefault="00794C0E" w:rsidP="00F637D0">
      <w:pPr>
        <w:spacing w:after="0" w:line="240" w:lineRule="auto"/>
      </w:pPr>
      <w:r>
        <w:separator/>
      </w:r>
    </w:p>
  </w:endnote>
  <w:endnote w:type="continuationSeparator" w:id="0">
    <w:p w14:paraId="248743D7" w14:textId="77777777" w:rsidR="00794C0E" w:rsidRDefault="00794C0E" w:rsidP="00F6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77667"/>
      <w:docPartObj>
        <w:docPartGallery w:val="Page Numbers (Bottom of Page)"/>
        <w:docPartUnique/>
      </w:docPartObj>
    </w:sdtPr>
    <w:sdtEndPr/>
    <w:sdtContent>
      <w:p w14:paraId="27466E11" w14:textId="77777777" w:rsidR="00E03597" w:rsidRDefault="00E03597">
        <w:pPr>
          <w:pStyle w:val="Piedepgina"/>
          <w:jc w:val="right"/>
        </w:pPr>
        <w:r>
          <w:fldChar w:fldCharType="begin"/>
        </w:r>
        <w:r>
          <w:instrText>PAGE   \* MERGEFORMAT</w:instrText>
        </w:r>
        <w:r>
          <w:fldChar w:fldCharType="separate"/>
        </w:r>
        <w:r w:rsidR="00BE5EFC" w:rsidRPr="00BE5EFC">
          <w:rPr>
            <w:noProof/>
            <w:lang w:val="es-ES"/>
          </w:rPr>
          <w:t>6</w:t>
        </w:r>
        <w:r>
          <w:fldChar w:fldCharType="end"/>
        </w:r>
      </w:p>
    </w:sdtContent>
  </w:sdt>
  <w:p w14:paraId="53F94948" w14:textId="77777777" w:rsidR="00E03597" w:rsidRDefault="00E035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DD01" w14:textId="77777777" w:rsidR="00794C0E" w:rsidRDefault="00794C0E" w:rsidP="00F637D0">
      <w:pPr>
        <w:spacing w:after="0" w:line="240" w:lineRule="auto"/>
      </w:pPr>
      <w:r>
        <w:separator/>
      </w:r>
    </w:p>
  </w:footnote>
  <w:footnote w:type="continuationSeparator" w:id="0">
    <w:p w14:paraId="644FE9A3" w14:textId="77777777" w:rsidR="00794C0E" w:rsidRDefault="00794C0E" w:rsidP="00F637D0">
      <w:pPr>
        <w:spacing w:after="0" w:line="240" w:lineRule="auto"/>
      </w:pPr>
      <w:r>
        <w:continuationSeparator/>
      </w:r>
    </w:p>
  </w:footnote>
  <w:footnote w:id="1">
    <w:p w14:paraId="64A67F9C" w14:textId="5D505BC4" w:rsidR="004A7128" w:rsidRPr="004A7128" w:rsidRDefault="004A7128" w:rsidP="004A7128">
      <w:pPr>
        <w:pStyle w:val="Textonotapie"/>
        <w:jc w:val="both"/>
        <w:rPr>
          <w:rFonts w:ascii="Arial Narrow" w:hAnsi="Arial Narrow"/>
        </w:rPr>
      </w:pPr>
      <w:r w:rsidRPr="004A7128">
        <w:rPr>
          <w:rStyle w:val="Refdenotaalpie"/>
          <w:rFonts w:ascii="Arial Narrow" w:hAnsi="Arial Narrow"/>
          <w:sz w:val="18"/>
        </w:rPr>
        <w:footnoteRef/>
      </w:r>
      <w:r w:rsidRPr="004A7128">
        <w:rPr>
          <w:rFonts w:ascii="Arial Narrow" w:hAnsi="Arial Narrow"/>
          <w:sz w:val="18"/>
        </w:rPr>
        <w:t xml:space="preserve"> La desagregación por función propuesta por CFE es: </w:t>
      </w:r>
      <w:r w:rsidRPr="004A7128">
        <w:rPr>
          <w:rFonts w:ascii="Arial Narrow" w:hAnsi="Arial Narrow" w:cs="Arial"/>
          <w:sz w:val="18"/>
        </w:rPr>
        <w:t xml:space="preserve">Generación, Transmisión, Subtransmisión, Distribución primaria, Distribución secundaria y Proceso comercial. El ingreso requerido establecido en el acuerdo A/045/2015, considera costos de lo que CFE clasifica como Transmisión y Subtransmisión. </w:t>
      </w:r>
    </w:p>
  </w:footnote>
  <w:footnote w:id="2">
    <w:p w14:paraId="7714A1F9" w14:textId="66650DFC" w:rsidR="003E54AC" w:rsidRDefault="003E54AC" w:rsidP="003E54AC">
      <w:pPr>
        <w:pStyle w:val="Textonotapie"/>
      </w:pPr>
      <w:r>
        <w:rPr>
          <w:rStyle w:val="Refdenotaalpie"/>
        </w:rPr>
        <w:footnoteRef/>
      </w:r>
      <w:r>
        <w:t xml:space="preserve"> P</w:t>
      </w:r>
      <w:r w:rsidRPr="003E54AC">
        <w:rPr>
          <w:rFonts w:ascii="Arial Narrow" w:hAnsi="Arial Narrow" w:cs="Arial"/>
          <w:sz w:val="18"/>
        </w:rPr>
        <w:t>ublicadas en el Registro Público de esta Comisión</w:t>
      </w:r>
      <w:r>
        <w:rPr>
          <w:rFonts w:ascii="Arial Narrow" w:hAnsi="Arial Narrow" w:cs="Arial"/>
          <w:sz w:val="18"/>
        </w:rPr>
        <w:t>:</w:t>
      </w:r>
      <w:r>
        <w:rPr>
          <w:rFonts w:ascii="Arial Narrow" w:hAnsi="Arial Narrow" w:cs="Arial"/>
          <w:sz w:val="22"/>
          <w:szCs w:val="22"/>
        </w:rPr>
        <w:t xml:space="preserve"> </w:t>
      </w:r>
      <w:r w:rsidRPr="00582F04">
        <w:rPr>
          <w:rFonts w:ascii="Arial Narrow" w:hAnsi="Arial Narrow" w:cs="Arial"/>
          <w:sz w:val="18"/>
        </w:rPr>
        <w:t>http://www.cre.gob.mx/acuerdo.aspx?id=452</w:t>
      </w:r>
    </w:p>
  </w:footnote>
  <w:footnote w:id="3">
    <w:p w14:paraId="741D0B44" w14:textId="77777777" w:rsidR="00663761" w:rsidRPr="00993CAE" w:rsidRDefault="00663761" w:rsidP="00663761">
      <w:pPr>
        <w:pStyle w:val="Textonotapie"/>
        <w:rPr>
          <w:rFonts w:ascii="Arial Narrow" w:hAnsi="Arial Narrow"/>
        </w:rPr>
      </w:pPr>
      <w:r w:rsidRPr="00760C81">
        <w:rPr>
          <w:rStyle w:val="Refdenotaalpie"/>
          <w:rFonts w:ascii="Arial Narrow" w:hAnsi="Arial Narrow"/>
          <w:sz w:val="18"/>
        </w:rPr>
        <w:footnoteRef/>
      </w:r>
      <w:r w:rsidRPr="00760C81">
        <w:rPr>
          <w:rFonts w:ascii="Arial Narrow" w:hAnsi="Arial Narrow"/>
          <w:sz w:val="18"/>
        </w:rPr>
        <w:t xml:space="preserve"> kV es la unidad derivada del Sistema Internacional para cuantificar el potencial eléctrico, la fuerza electromotriz y la tensión eléctrica.</w:t>
      </w:r>
    </w:p>
  </w:footnote>
  <w:footnote w:id="4">
    <w:p w14:paraId="367CE8F1" w14:textId="4A62BD1F" w:rsidR="00E03597" w:rsidRDefault="00E03597">
      <w:pPr>
        <w:pStyle w:val="Textonotapie"/>
      </w:pPr>
      <w:r>
        <w:rPr>
          <w:rStyle w:val="Refdenotaalpie"/>
        </w:rPr>
        <w:footnoteRef/>
      </w:r>
      <w:r>
        <w:t xml:space="preserve"> </w:t>
      </w:r>
      <w:r w:rsidR="00104CFD">
        <w:rPr>
          <w:rFonts w:ascii="Arial Narrow" w:hAnsi="Arial Narrow"/>
          <w:sz w:val="18"/>
        </w:rPr>
        <w:t>Dichos</w:t>
      </w:r>
      <w:r w:rsidRPr="002451B3">
        <w:rPr>
          <w:rFonts w:ascii="Arial Narrow" w:hAnsi="Arial Narrow"/>
          <w:sz w:val="18"/>
        </w:rPr>
        <w:t xml:space="preserve"> costos </w:t>
      </w:r>
      <w:r w:rsidR="00104CFD">
        <w:rPr>
          <w:rFonts w:ascii="Arial Narrow" w:hAnsi="Arial Narrow"/>
          <w:sz w:val="18"/>
        </w:rPr>
        <w:t xml:space="preserve">corresponden a los grupos de </w:t>
      </w:r>
      <w:r w:rsidRPr="002451B3">
        <w:rPr>
          <w:rFonts w:ascii="Arial Narrow" w:hAnsi="Arial Narrow"/>
          <w:sz w:val="18"/>
        </w:rPr>
        <w:t xml:space="preserve">Transmisión y Subtransmisión </w:t>
      </w:r>
      <w:r w:rsidR="00104CFD">
        <w:rPr>
          <w:rFonts w:ascii="Arial Narrow" w:hAnsi="Arial Narrow"/>
          <w:sz w:val="18"/>
        </w:rPr>
        <w:t>en la clasificación de CFE</w:t>
      </w:r>
      <w:r w:rsidRPr="002451B3">
        <w:rPr>
          <w:rFonts w:ascii="Arial Narrow" w:hAnsi="Arial Narrow"/>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55759" w14:textId="77777777" w:rsidR="00E03597" w:rsidRPr="00C44546" w:rsidRDefault="00E03597" w:rsidP="00C44546">
    <w:pPr>
      <w:pStyle w:val="Encabezado"/>
      <w:tabs>
        <w:tab w:val="clear" w:pos="4419"/>
        <w:tab w:val="clear" w:pos="8838"/>
      </w:tabs>
      <w:spacing w:line="380" w:lineRule="exact"/>
      <w:ind w:firstLine="708"/>
      <w:jc w:val="right"/>
      <w:rPr>
        <w:rFonts w:ascii="Arial Narrow" w:eastAsia="Arial Unicode MS" w:hAnsi="Arial Narrow" w:cs="Arial Unicode MS"/>
        <w:b/>
        <w:color w:val="1F497D" w:themeColor="text2"/>
        <w:sz w:val="24"/>
        <w:szCs w:val="24"/>
      </w:rPr>
    </w:pPr>
    <w:r w:rsidRPr="00C44546">
      <w:rPr>
        <w:rFonts w:ascii="Arial Narrow" w:hAnsi="Arial Narrow"/>
        <w:noProof/>
        <w:color w:val="000000" w:themeColor="text1"/>
        <w:lang w:eastAsia="es-MX"/>
      </w:rPr>
      <w:drawing>
        <wp:anchor distT="0" distB="0" distL="114300" distR="114300" simplePos="0" relativeHeight="251661312" behindDoc="1" locked="0" layoutInCell="1" allowOverlap="1" wp14:anchorId="097B16F6" wp14:editId="522C997B">
          <wp:simplePos x="0" y="0"/>
          <wp:positionH relativeFrom="column">
            <wp:posOffset>-14605</wp:posOffset>
          </wp:positionH>
          <wp:positionV relativeFrom="paragraph">
            <wp:posOffset>-41910</wp:posOffset>
          </wp:positionV>
          <wp:extent cx="1181819" cy="609123"/>
          <wp:effectExtent l="0" t="0" r="0" b="635"/>
          <wp:wrapNone/>
          <wp:docPr id="9" name="Imagen 9" descr="C:\Users\cbernal\Desktop\Quehacer diario\Herramientas generación de productos\Logo 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bernal\Desktop\Quehacer diario\Herramientas generación de productos\Logo CR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819" cy="6091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4546">
      <w:rPr>
        <w:rFonts w:ascii="Arial Narrow" w:eastAsia="Arial Unicode MS" w:hAnsi="Arial Narrow" w:cs="Arial Unicode MS"/>
        <w:b/>
        <w:color w:val="1F497D" w:themeColor="text2"/>
        <w:sz w:val="24"/>
        <w:szCs w:val="24"/>
      </w:rPr>
      <w:t>UNIDAD DE ANÁLISIS ECONÓMICO</w:t>
    </w:r>
  </w:p>
  <w:p w14:paraId="18B4D4FD" w14:textId="77777777" w:rsidR="00E03597" w:rsidRDefault="00E03597" w:rsidP="00665394">
    <w:pPr>
      <w:pStyle w:val="Encabezado"/>
      <w:tabs>
        <w:tab w:val="clear" w:pos="4419"/>
        <w:tab w:val="clear" w:pos="8838"/>
      </w:tabs>
      <w:spacing w:line="380" w:lineRule="exact"/>
      <w:jc w:val="right"/>
      <w:rPr>
        <w:rFonts w:eastAsia="Arial Unicode MS" w:cs="Arial Unicode MS"/>
        <w:b/>
        <w:sz w:val="24"/>
        <w:szCs w:val="24"/>
      </w:rPr>
    </w:pPr>
  </w:p>
  <w:p w14:paraId="6C5BB7B6" w14:textId="77777777" w:rsidR="00E03597" w:rsidRPr="00507AA2" w:rsidRDefault="00E03597" w:rsidP="00665394">
    <w:pPr>
      <w:pStyle w:val="Encabezado"/>
      <w:tabs>
        <w:tab w:val="clear" w:pos="4419"/>
        <w:tab w:val="clear" w:pos="8838"/>
      </w:tabs>
      <w:spacing w:line="380" w:lineRule="exact"/>
      <w:jc w:val="right"/>
      <w:rPr>
        <w:rFonts w:eastAsia="Arial Unicode MS" w:cs="Arial Unicode MS"/>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F13392"/>
    <w:multiLevelType w:val="hybridMultilevel"/>
    <w:tmpl w:val="FA6831B6"/>
    <w:lvl w:ilvl="0" w:tplc="9D066340">
      <w:start w:val="1"/>
      <w:numFmt w:val="bullet"/>
      <w:lvlText w:val=""/>
      <w:lvlJc w:val="left"/>
      <w:pPr>
        <w:tabs>
          <w:tab w:val="num" w:pos="720"/>
        </w:tabs>
        <w:ind w:left="720" w:hanging="360"/>
      </w:pPr>
      <w:rPr>
        <w:rFonts w:ascii="Wingdings" w:hAnsi="Wingdings" w:hint="default"/>
        <w:color w:val="365F91" w:themeColor="accent1" w:themeShade="BF"/>
      </w:rPr>
    </w:lvl>
    <w:lvl w:ilvl="1" w:tplc="A0324860" w:tentative="1">
      <w:start w:val="1"/>
      <w:numFmt w:val="bullet"/>
      <w:lvlText w:val=""/>
      <w:lvlJc w:val="left"/>
      <w:pPr>
        <w:tabs>
          <w:tab w:val="num" w:pos="1440"/>
        </w:tabs>
        <w:ind w:left="1440" w:hanging="360"/>
      </w:pPr>
      <w:rPr>
        <w:rFonts w:ascii="Wingdings" w:hAnsi="Wingdings" w:hint="default"/>
      </w:rPr>
    </w:lvl>
    <w:lvl w:ilvl="2" w:tplc="2248AB4E" w:tentative="1">
      <w:start w:val="1"/>
      <w:numFmt w:val="bullet"/>
      <w:lvlText w:val=""/>
      <w:lvlJc w:val="left"/>
      <w:pPr>
        <w:tabs>
          <w:tab w:val="num" w:pos="2160"/>
        </w:tabs>
        <w:ind w:left="2160" w:hanging="360"/>
      </w:pPr>
      <w:rPr>
        <w:rFonts w:ascii="Wingdings" w:hAnsi="Wingdings" w:hint="default"/>
      </w:rPr>
    </w:lvl>
    <w:lvl w:ilvl="3" w:tplc="5388E54C" w:tentative="1">
      <w:start w:val="1"/>
      <w:numFmt w:val="bullet"/>
      <w:lvlText w:val=""/>
      <w:lvlJc w:val="left"/>
      <w:pPr>
        <w:tabs>
          <w:tab w:val="num" w:pos="2880"/>
        </w:tabs>
        <w:ind w:left="2880" w:hanging="360"/>
      </w:pPr>
      <w:rPr>
        <w:rFonts w:ascii="Wingdings" w:hAnsi="Wingdings" w:hint="default"/>
      </w:rPr>
    </w:lvl>
    <w:lvl w:ilvl="4" w:tplc="12E89B2A" w:tentative="1">
      <w:start w:val="1"/>
      <w:numFmt w:val="bullet"/>
      <w:lvlText w:val=""/>
      <w:lvlJc w:val="left"/>
      <w:pPr>
        <w:tabs>
          <w:tab w:val="num" w:pos="3600"/>
        </w:tabs>
        <w:ind w:left="3600" w:hanging="360"/>
      </w:pPr>
      <w:rPr>
        <w:rFonts w:ascii="Wingdings" w:hAnsi="Wingdings" w:hint="default"/>
      </w:rPr>
    </w:lvl>
    <w:lvl w:ilvl="5" w:tplc="2AB85DA0" w:tentative="1">
      <w:start w:val="1"/>
      <w:numFmt w:val="bullet"/>
      <w:lvlText w:val=""/>
      <w:lvlJc w:val="left"/>
      <w:pPr>
        <w:tabs>
          <w:tab w:val="num" w:pos="4320"/>
        </w:tabs>
        <w:ind w:left="4320" w:hanging="360"/>
      </w:pPr>
      <w:rPr>
        <w:rFonts w:ascii="Wingdings" w:hAnsi="Wingdings" w:hint="default"/>
      </w:rPr>
    </w:lvl>
    <w:lvl w:ilvl="6" w:tplc="472CDE32" w:tentative="1">
      <w:start w:val="1"/>
      <w:numFmt w:val="bullet"/>
      <w:lvlText w:val=""/>
      <w:lvlJc w:val="left"/>
      <w:pPr>
        <w:tabs>
          <w:tab w:val="num" w:pos="5040"/>
        </w:tabs>
        <w:ind w:left="5040" w:hanging="360"/>
      </w:pPr>
      <w:rPr>
        <w:rFonts w:ascii="Wingdings" w:hAnsi="Wingdings" w:hint="default"/>
      </w:rPr>
    </w:lvl>
    <w:lvl w:ilvl="7" w:tplc="DAFA56D0" w:tentative="1">
      <w:start w:val="1"/>
      <w:numFmt w:val="bullet"/>
      <w:lvlText w:val=""/>
      <w:lvlJc w:val="left"/>
      <w:pPr>
        <w:tabs>
          <w:tab w:val="num" w:pos="5760"/>
        </w:tabs>
        <w:ind w:left="5760" w:hanging="360"/>
      </w:pPr>
      <w:rPr>
        <w:rFonts w:ascii="Wingdings" w:hAnsi="Wingdings" w:hint="default"/>
      </w:rPr>
    </w:lvl>
    <w:lvl w:ilvl="8" w:tplc="DA9E950E" w:tentative="1">
      <w:start w:val="1"/>
      <w:numFmt w:val="bullet"/>
      <w:lvlText w:val=""/>
      <w:lvlJc w:val="left"/>
      <w:pPr>
        <w:tabs>
          <w:tab w:val="num" w:pos="6480"/>
        </w:tabs>
        <w:ind w:left="6480" w:hanging="360"/>
      </w:pPr>
      <w:rPr>
        <w:rFonts w:ascii="Wingdings" w:hAnsi="Wingdings" w:hint="default"/>
      </w:rPr>
    </w:lvl>
  </w:abstractNum>
  <w:abstractNum w:abstractNumId="1">
    <w:nsid w:val="38FD75E2"/>
    <w:multiLevelType w:val="multilevel"/>
    <w:tmpl w:val="D40419BC"/>
    <w:lvl w:ilvl="0">
      <w:start w:val="1"/>
      <w:numFmt w:val="decimal"/>
      <w:pStyle w:val="Ttulo1"/>
      <w:lvlText w:val="%1"/>
      <w:lvlJc w:val="left"/>
      <w:pPr>
        <w:ind w:left="432" w:hanging="432"/>
      </w:pPr>
      <w:rPr>
        <w:b/>
      </w:rPr>
    </w:lvl>
    <w:lvl w:ilvl="1">
      <w:start w:val="1"/>
      <w:numFmt w:val="decimal"/>
      <w:pStyle w:val="Ttulo2"/>
      <w:lvlText w:val="%1.%2"/>
      <w:lvlJc w:val="left"/>
      <w:pPr>
        <w:ind w:left="2196" w:hanging="576"/>
      </w:pPr>
      <w:rPr>
        <w:rFonts w:ascii="Arial Narrow" w:hAnsi="Arial Narrow" w:hint="default"/>
        <w:b/>
        <w:sz w:val="22"/>
        <w:szCs w:val="22"/>
      </w:rPr>
    </w:lvl>
    <w:lvl w:ilvl="2">
      <w:start w:val="1"/>
      <w:numFmt w:val="decimal"/>
      <w:pStyle w:val="Ttulo3"/>
      <w:lvlText w:val="%1.%2.%3"/>
      <w:lvlJc w:val="left"/>
      <w:pPr>
        <w:ind w:left="2790" w:hanging="720"/>
      </w:pPr>
      <w:rPr>
        <w:rFonts w:ascii="Arial Narrow" w:hAnsi="Arial Narrow" w:hint="default"/>
        <w:b/>
        <w:color w:val="auto"/>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3CD917C6"/>
    <w:multiLevelType w:val="hybridMultilevel"/>
    <w:tmpl w:val="3B604B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3A"/>
    <w:rsid w:val="000013EF"/>
    <w:rsid w:val="00002371"/>
    <w:rsid w:val="00003D6A"/>
    <w:rsid w:val="00004576"/>
    <w:rsid w:val="0000458E"/>
    <w:rsid w:val="00006751"/>
    <w:rsid w:val="000073BF"/>
    <w:rsid w:val="00007C7F"/>
    <w:rsid w:val="00007D06"/>
    <w:rsid w:val="00014026"/>
    <w:rsid w:val="0001432F"/>
    <w:rsid w:val="00016862"/>
    <w:rsid w:val="00020F4A"/>
    <w:rsid w:val="0002144B"/>
    <w:rsid w:val="00021F07"/>
    <w:rsid w:val="00022259"/>
    <w:rsid w:val="00022B48"/>
    <w:rsid w:val="0002351D"/>
    <w:rsid w:val="000243EC"/>
    <w:rsid w:val="00024BAF"/>
    <w:rsid w:val="00027FBD"/>
    <w:rsid w:val="00030667"/>
    <w:rsid w:val="0003334C"/>
    <w:rsid w:val="00036099"/>
    <w:rsid w:val="00036BA1"/>
    <w:rsid w:val="000373FD"/>
    <w:rsid w:val="000417DA"/>
    <w:rsid w:val="000430F0"/>
    <w:rsid w:val="000447C0"/>
    <w:rsid w:val="000450B4"/>
    <w:rsid w:val="00045563"/>
    <w:rsid w:val="00045B25"/>
    <w:rsid w:val="0005119A"/>
    <w:rsid w:val="000520C2"/>
    <w:rsid w:val="00052DD5"/>
    <w:rsid w:val="00060447"/>
    <w:rsid w:val="000629C5"/>
    <w:rsid w:val="00062C11"/>
    <w:rsid w:val="00067555"/>
    <w:rsid w:val="00067AB7"/>
    <w:rsid w:val="00067D49"/>
    <w:rsid w:val="0007082F"/>
    <w:rsid w:val="00073201"/>
    <w:rsid w:val="00074CAB"/>
    <w:rsid w:val="000768A6"/>
    <w:rsid w:val="00076937"/>
    <w:rsid w:val="000801B5"/>
    <w:rsid w:val="00082503"/>
    <w:rsid w:val="00082765"/>
    <w:rsid w:val="0008396A"/>
    <w:rsid w:val="00084C53"/>
    <w:rsid w:val="00085A3E"/>
    <w:rsid w:val="00086128"/>
    <w:rsid w:val="00087C06"/>
    <w:rsid w:val="00090623"/>
    <w:rsid w:val="000918DD"/>
    <w:rsid w:val="0009191F"/>
    <w:rsid w:val="00091A2A"/>
    <w:rsid w:val="000926A5"/>
    <w:rsid w:val="0009271B"/>
    <w:rsid w:val="00092BB5"/>
    <w:rsid w:val="00093239"/>
    <w:rsid w:val="000933D0"/>
    <w:rsid w:val="00094CCA"/>
    <w:rsid w:val="00094ECB"/>
    <w:rsid w:val="000A0805"/>
    <w:rsid w:val="000A1C12"/>
    <w:rsid w:val="000A76A9"/>
    <w:rsid w:val="000B28F3"/>
    <w:rsid w:val="000B5B84"/>
    <w:rsid w:val="000C12B7"/>
    <w:rsid w:val="000C1ED1"/>
    <w:rsid w:val="000C3073"/>
    <w:rsid w:val="000C521D"/>
    <w:rsid w:val="000C5F65"/>
    <w:rsid w:val="000D138D"/>
    <w:rsid w:val="000D1CA1"/>
    <w:rsid w:val="000D24AC"/>
    <w:rsid w:val="000D24E4"/>
    <w:rsid w:val="000D2F90"/>
    <w:rsid w:val="000D6687"/>
    <w:rsid w:val="000D6F97"/>
    <w:rsid w:val="000D74BC"/>
    <w:rsid w:val="000D7B5A"/>
    <w:rsid w:val="000E0A8E"/>
    <w:rsid w:val="000E48F5"/>
    <w:rsid w:val="000E5163"/>
    <w:rsid w:val="000E74EA"/>
    <w:rsid w:val="000F1072"/>
    <w:rsid w:val="000F179E"/>
    <w:rsid w:val="000F2008"/>
    <w:rsid w:val="000F2887"/>
    <w:rsid w:val="000F2A7C"/>
    <w:rsid w:val="000F6136"/>
    <w:rsid w:val="001019CD"/>
    <w:rsid w:val="001044F0"/>
    <w:rsid w:val="00104CFD"/>
    <w:rsid w:val="001073CA"/>
    <w:rsid w:val="00107537"/>
    <w:rsid w:val="0011258C"/>
    <w:rsid w:val="00113543"/>
    <w:rsid w:val="00113A03"/>
    <w:rsid w:val="001158A2"/>
    <w:rsid w:val="001211E0"/>
    <w:rsid w:val="0012161A"/>
    <w:rsid w:val="00123DF5"/>
    <w:rsid w:val="00132384"/>
    <w:rsid w:val="0013239A"/>
    <w:rsid w:val="00133E23"/>
    <w:rsid w:val="001343B3"/>
    <w:rsid w:val="00136834"/>
    <w:rsid w:val="00137E57"/>
    <w:rsid w:val="0014015E"/>
    <w:rsid w:val="00144EB3"/>
    <w:rsid w:val="00146B57"/>
    <w:rsid w:val="0014776E"/>
    <w:rsid w:val="00150C00"/>
    <w:rsid w:val="0015446F"/>
    <w:rsid w:val="00157B01"/>
    <w:rsid w:val="00157FF4"/>
    <w:rsid w:val="00162D58"/>
    <w:rsid w:val="00166183"/>
    <w:rsid w:val="00166320"/>
    <w:rsid w:val="00170A8B"/>
    <w:rsid w:val="00172E4D"/>
    <w:rsid w:val="00174918"/>
    <w:rsid w:val="00175196"/>
    <w:rsid w:val="00175D87"/>
    <w:rsid w:val="00177610"/>
    <w:rsid w:val="00177A2B"/>
    <w:rsid w:val="00177AA0"/>
    <w:rsid w:val="00180C4B"/>
    <w:rsid w:val="00180E99"/>
    <w:rsid w:val="00180F1F"/>
    <w:rsid w:val="00181E94"/>
    <w:rsid w:val="00182D20"/>
    <w:rsid w:val="00185AB2"/>
    <w:rsid w:val="00187CF8"/>
    <w:rsid w:val="001902AE"/>
    <w:rsid w:val="00190F31"/>
    <w:rsid w:val="001916B5"/>
    <w:rsid w:val="00192297"/>
    <w:rsid w:val="001924FD"/>
    <w:rsid w:val="00194644"/>
    <w:rsid w:val="00195C04"/>
    <w:rsid w:val="00196F03"/>
    <w:rsid w:val="001A0BB1"/>
    <w:rsid w:val="001A183D"/>
    <w:rsid w:val="001A49F7"/>
    <w:rsid w:val="001A4E7A"/>
    <w:rsid w:val="001A5DC2"/>
    <w:rsid w:val="001B10D6"/>
    <w:rsid w:val="001B14B1"/>
    <w:rsid w:val="001B1B0F"/>
    <w:rsid w:val="001B2304"/>
    <w:rsid w:val="001B7B56"/>
    <w:rsid w:val="001B7D6C"/>
    <w:rsid w:val="001C1C90"/>
    <w:rsid w:val="001C2387"/>
    <w:rsid w:val="001C31AF"/>
    <w:rsid w:val="001C3321"/>
    <w:rsid w:val="001C79CC"/>
    <w:rsid w:val="001D0FCE"/>
    <w:rsid w:val="001D21E4"/>
    <w:rsid w:val="001D2AFC"/>
    <w:rsid w:val="001D43DA"/>
    <w:rsid w:val="001E0ABC"/>
    <w:rsid w:val="001E14E5"/>
    <w:rsid w:val="001E66E6"/>
    <w:rsid w:val="001E76FC"/>
    <w:rsid w:val="001F0F79"/>
    <w:rsid w:val="001F3211"/>
    <w:rsid w:val="001F3464"/>
    <w:rsid w:val="001F384A"/>
    <w:rsid w:val="001F39B8"/>
    <w:rsid w:val="001F5BF2"/>
    <w:rsid w:val="001F625D"/>
    <w:rsid w:val="001F793F"/>
    <w:rsid w:val="00201D62"/>
    <w:rsid w:val="0021149E"/>
    <w:rsid w:val="0021168F"/>
    <w:rsid w:val="00212CBF"/>
    <w:rsid w:val="002140A0"/>
    <w:rsid w:val="0022018B"/>
    <w:rsid w:val="002237C0"/>
    <w:rsid w:val="00223DDB"/>
    <w:rsid w:val="0023198F"/>
    <w:rsid w:val="00236229"/>
    <w:rsid w:val="00236C92"/>
    <w:rsid w:val="00236D28"/>
    <w:rsid w:val="002374F9"/>
    <w:rsid w:val="00240033"/>
    <w:rsid w:val="002420A3"/>
    <w:rsid w:val="00243E8D"/>
    <w:rsid w:val="00243F1C"/>
    <w:rsid w:val="00244F18"/>
    <w:rsid w:val="00244F1C"/>
    <w:rsid w:val="002451B3"/>
    <w:rsid w:val="00246A7F"/>
    <w:rsid w:val="00253808"/>
    <w:rsid w:val="0025456F"/>
    <w:rsid w:val="0026079B"/>
    <w:rsid w:val="00263C44"/>
    <w:rsid w:val="002643B4"/>
    <w:rsid w:val="00264F07"/>
    <w:rsid w:val="00265125"/>
    <w:rsid w:val="002726AB"/>
    <w:rsid w:val="00272918"/>
    <w:rsid w:val="00273FFD"/>
    <w:rsid w:val="002749FA"/>
    <w:rsid w:val="00275590"/>
    <w:rsid w:val="0027638E"/>
    <w:rsid w:val="00277DAA"/>
    <w:rsid w:val="00281627"/>
    <w:rsid w:val="002835C9"/>
    <w:rsid w:val="00283AA3"/>
    <w:rsid w:val="0028534A"/>
    <w:rsid w:val="00290B6B"/>
    <w:rsid w:val="00291D79"/>
    <w:rsid w:val="0029231C"/>
    <w:rsid w:val="002941D1"/>
    <w:rsid w:val="00295366"/>
    <w:rsid w:val="00295F95"/>
    <w:rsid w:val="002A0626"/>
    <w:rsid w:val="002A20A2"/>
    <w:rsid w:val="002A2ADF"/>
    <w:rsid w:val="002A4069"/>
    <w:rsid w:val="002A77C7"/>
    <w:rsid w:val="002B3E7F"/>
    <w:rsid w:val="002B563C"/>
    <w:rsid w:val="002B6FCA"/>
    <w:rsid w:val="002D5FFE"/>
    <w:rsid w:val="002D6D8E"/>
    <w:rsid w:val="002D7F9E"/>
    <w:rsid w:val="002E549A"/>
    <w:rsid w:val="002E7E69"/>
    <w:rsid w:val="002F09C2"/>
    <w:rsid w:val="002F269F"/>
    <w:rsid w:val="002F50E7"/>
    <w:rsid w:val="00304100"/>
    <w:rsid w:val="00304B75"/>
    <w:rsid w:val="00305F5A"/>
    <w:rsid w:val="00306AC9"/>
    <w:rsid w:val="00312E9D"/>
    <w:rsid w:val="00315D0B"/>
    <w:rsid w:val="00316058"/>
    <w:rsid w:val="00317A59"/>
    <w:rsid w:val="00317E6F"/>
    <w:rsid w:val="00322009"/>
    <w:rsid w:val="003222E4"/>
    <w:rsid w:val="0032340B"/>
    <w:rsid w:val="00325062"/>
    <w:rsid w:val="003264EB"/>
    <w:rsid w:val="003273F5"/>
    <w:rsid w:val="003301FF"/>
    <w:rsid w:val="00335677"/>
    <w:rsid w:val="00336A84"/>
    <w:rsid w:val="00347B00"/>
    <w:rsid w:val="003507FF"/>
    <w:rsid w:val="003514C3"/>
    <w:rsid w:val="003527E4"/>
    <w:rsid w:val="00352AC4"/>
    <w:rsid w:val="00353F6B"/>
    <w:rsid w:val="0035668D"/>
    <w:rsid w:val="00356698"/>
    <w:rsid w:val="0036270C"/>
    <w:rsid w:val="0036279F"/>
    <w:rsid w:val="00364B78"/>
    <w:rsid w:val="00365412"/>
    <w:rsid w:val="003655FD"/>
    <w:rsid w:val="003667C0"/>
    <w:rsid w:val="00367EF3"/>
    <w:rsid w:val="003704A2"/>
    <w:rsid w:val="0037412B"/>
    <w:rsid w:val="00376F30"/>
    <w:rsid w:val="0037779B"/>
    <w:rsid w:val="00390C31"/>
    <w:rsid w:val="00391944"/>
    <w:rsid w:val="00394404"/>
    <w:rsid w:val="0039651A"/>
    <w:rsid w:val="0039663E"/>
    <w:rsid w:val="00396B10"/>
    <w:rsid w:val="00396F2D"/>
    <w:rsid w:val="003975AF"/>
    <w:rsid w:val="003A2CD9"/>
    <w:rsid w:val="003A3722"/>
    <w:rsid w:val="003A46FD"/>
    <w:rsid w:val="003A480C"/>
    <w:rsid w:val="003A4A74"/>
    <w:rsid w:val="003A4AD0"/>
    <w:rsid w:val="003A6E0D"/>
    <w:rsid w:val="003A79BF"/>
    <w:rsid w:val="003B415F"/>
    <w:rsid w:val="003B5990"/>
    <w:rsid w:val="003B741C"/>
    <w:rsid w:val="003C1E97"/>
    <w:rsid w:val="003C350C"/>
    <w:rsid w:val="003C3A61"/>
    <w:rsid w:val="003D33B1"/>
    <w:rsid w:val="003D57C6"/>
    <w:rsid w:val="003D6E7F"/>
    <w:rsid w:val="003E102C"/>
    <w:rsid w:val="003E1488"/>
    <w:rsid w:val="003E2333"/>
    <w:rsid w:val="003E3A8C"/>
    <w:rsid w:val="003E4704"/>
    <w:rsid w:val="003E54AC"/>
    <w:rsid w:val="003E6202"/>
    <w:rsid w:val="003E697E"/>
    <w:rsid w:val="003E741F"/>
    <w:rsid w:val="003F0237"/>
    <w:rsid w:val="003F1EBA"/>
    <w:rsid w:val="003F21AC"/>
    <w:rsid w:val="003F2278"/>
    <w:rsid w:val="003F326F"/>
    <w:rsid w:val="003F45C7"/>
    <w:rsid w:val="00401F49"/>
    <w:rsid w:val="0040390B"/>
    <w:rsid w:val="004039D0"/>
    <w:rsid w:val="00411796"/>
    <w:rsid w:val="00413775"/>
    <w:rsid w:val="00413D2D"/>
    <w:rsid w:val="00414952"/>
    <w:rsid w:val="00415032"/>
    <w:rsid w:val="00416E3C"/>
    <w:rsid w:val="00417B99"/>
    <w:rsid w:val="00422325"/>
    <w:rsid w:val="00426397"/>
    <w:rsid w:val="0043015B"/>
    <w:rsid w:val="0043093F"/>
    <w:rsid w:val="00431E72"/>
    <w:rsid w:val="0043337E"/>
    <w:rsid w:val="00437546"/>
    <w:rsid w:val="0044073A"/>
    <w:rsid w:val="00443B18"/>
    <w:rsid w:val="00444D1F"/>
    <w:rsid w:val="00452892"/>
    <w:rsid w:val="0045351A"/>
    <w:rsid w:val="00453A90"/>
    <w:rsid w:val="00453D60"/>
    <w:rsid w:val="00455F78"/>
    <w:rsid w:val="00456252"/>
    <w:rsid w:val="0046107A"/>
    <w:rsid w:val="00461262"/>
    <w:rsid w:val="00462A2F"/>
    <w:rsid w:val="00465607"/>
    <w:rsid w:val="00470CA5"/>
    <w:rsid w:val="00474A93"/>
    <w:rsid w:val="00475C1F"/>
    <w:rsid w:val="00475C4E"/>
    <w:rsid w:val="00476051"/>
    <w:rsid w:val="00477261"/>
    <w:rsid w:val="004807A7"/>
    <w:rsid w:val="00480A76"/>
    <w:rsid w:val="00480ADA"/>
    <w:rsid w:val="00481F78"/>
    <w:rsid w:val="00482D0E"/>
    <w:rsid w:val="00484013"/>
    <w:rsid w:val="00484A71"/>
    <w:rsid w:val="00486389"/>
    <w:rsid w:val="00487A40"/>
    <w:rsid w:val="00491317"/>
    <w:rsid w:val="0049145D"/>
    <w:rsid w:val="004934E4"/>
    <w:rsid w:val="0049380B"/>
    <w:rsid w:val="004962AE"/>
    <w:rsid w:val="0049787F"/>
    <w:rsid w:val="004A08C6"/>
    <w:rsid w:val="004A3458"/>
    <w:rsid w:val="004A4E6C"/>
    <w:rsid w:val="004A7128"/>
    <w:rsid w:val="004B007E"/>
    <w:rsid w:val="004B0F1F"/>
    <w:rsid w:val="004B2237"/>
    <w:rsid w:val="004B2943"/>
    <w:rsid w:val="004B3B04"/>
    <w:rsid w:val="004B625F"/>
    <w:rsid w:val="004B71AF"/>
    <w:rsid w:val="004B7F6A"/>
    <w:rsid w:val="004C0595"/>
    <w:rsid w:val="004C21BA"/>
    <w:rsid w:val="004C3EA8"/>
    <w:rsid w:val="004C4765"/>
    <w:rsid w:val="004C5373"/>
    <w:rsid w:val="004C6848"/>
    <w:rsid w:val="004D2DE0"/>
    <w:rsid w:val="004D2EE8"/>
    <w:rsid w:val="004D3A90"/>
    <w:rsid w:val="004D5654"/>
    <w:rsid w:val="004E2DEF"/>
    <w:rsid w:val="004E2F2E"/>
    <w:rsid w:val="004E551C"/>
    <w:rsid w:val="004E7B7E"/>
    <w:rsid w:val="004F16FA"/>
    <w:rsid w:val="004F3B60"/>
    <w:rsid w:val="004F72EB"/>
    <w:rsid w:val="00504309"/>
    <w:rsid w:val="005047A1"/>
    <w:rsid w:val="0050495C"/>
    <w:rsid w:val="00505FF7"/>
    <w:rsid w:val="00507AA2"/>
    <w:rsid w:val="00510E30"/>
    <w:rsid w:val="00512254"/>
    <w:rsid w:val="00515BED"/>
    <w:rsid w:val="00517539"/>
    <w:rsid w:val="005204FB"/>
    <w:rsid w:val="00520816"/>
    <w:rsid w:val="005218BE"/>
    <w:rsid w:val="00521B2F"/>
    <w:rsid w:val="00521D4B"/>
    <w:rsid w:val="00524F35"/>
    <w:rsid w:val="00525167"/>
    <w:rsid w:val="005252FF"/>
    <w:rsid w:val="00527E44"/>
    <w:rsid w:val="0053046C"/>
    <w:rsid w:val="00530D79"/>
    <w:rsid w:val="00533DD4"/>
    <w:rsid w:val="00537428"/>
    <w:rsid w:val="0054015F"/>
    <w:rsid w:val="0054387B"/>
    <w:rsid w:val="00544796"/>
    <w:rsid w:val="00544A6E"/>
    <w:rsid w:val="00545418"/>
    <w:rsid w:val="00546273"/>
    <w:rsid w:val="00546BB6"/>
    <w:rsid w:val="00547572"/>
    <w:rsid w:val="005477FD"/>
    <w:rsid w:val="00552827"/>
    <w:rsid w:val="00555BEB"/>
    <w:rsid w:val="0055612D"/>
    <w:rsid w:val="00556133"/>
    <w:rsid w:val="005561D8"/>
    <w:rsid w:val="00564BD0"/>
    <w:rsid w:val="0056589D"/>
    <w:rsid w:val="00565BE5"/>
    <w:rsid w:val="0056608A"/>
    <w:rsid w:val="00566E06"/>
    <w:rsid w:val="0056740F"/>
    <w:rsid w:val="00570756"/>
    <w:rsid w:val="00570918"/>
    <w:rsid w:val="00570AD9"/>
    <w:rsid w:val="005724BE"/>
    <w:rsid w:val="005738C7"/>
    <w:rsid w:val="00573D14"/>
    <w:rsid w:val="00575A6F"/>
    <w:rsid w:val="0058167F"/>
    <w:rsid w:val="00582649"/>
    <w:rsid w:val="00582D1F"/>
    <w:rsid w:val="00582F04"/>
    <w:rsid w:val="005837B0"/>
    <w:rsid w:val="00583C93"/>
    <w:rsid w:val="00590270"/>
    <w:rsid w:val="005950F2"/>
    <w:rsid w:val="00595722"/>
    <w:rsid w:val="00597724"/>
    <w:rsid w:val="005A0949"/>
    <w:rsid w:val="005A0BAD"/>
    <w:rsid w:val="005A22DE"/>
    <w:rsid w:val="005A3699"/>
    <w:rsid w:val="005A4979"/>
    <w:rsid w:val="005A5434"/>
    <w:rsid w:val="005A63FC"/>
    <w:rsid w:val="005A6DB3"/>
    <w:rsid w:val="005B4A40"/>
    <w:rsid w:val="005B5BF5"/>
    <w:rsid w:val="005B7D05"/>
    <w:rsid w:val="005C0FBC"/>
    <w:rsid w:val="005C2818"/>
    <w:rsid w:val="005C4C0D"/>
    <w:rsid w:val="005C6CEF"/>
    <w:rsid w:val="005D23EA"/>
    <w:rsid w:val="005D24E5"/>
    <w:rsid w:val="005D49DE"/>
    <w:rsid w:val="005D4E1E"/>
    <w:rsid w:val="005D5B3F"/>
    <w:rsid w:val="005D67DB"/>
    <w:rsid w:val="005D7D3E"/>
    <w:rsid w:val="005E0CA8"/>
    <w:rsid w:val="005E28C3"/>
    <w:rsid w:val="005E308C"/>
    <w:rsid w:val="005E3821"/>
    <w:rsid w:val="005E3CCB"/>
    <w:rsid w:val="005E4B7E"/>
    <w:rsid w:val="005E5D33"/>
    <w:rsid w:val="005E65BB"/>
    <w:rsid w:val="005E7389"/>
    <w:rsid w:val="005E75FB"/>
    <w:rsid w:val="005E7747"/>
    <w:rsid w:val="005F0FF9"/>
    <w:rsid w:val="005F2002"/>
    <w:rsid w:val="005F293A"/>
    <w:rsid w:val="005F3C5A"/>
    <w:rsid w:val="005F3E73"/>
    <w:rsid w:val="005F5252"/>
    <w:rsid w:val="00600C43"/>
    <w:rsid w:val="00602C6F"/>
    <w:rsid w:val="0060403F"/>
    <w:rsid w:val="00605A0B"/>
    <w:rsid w:val="00606008"/>
    <w:rsid w:val="00611953"/>
    <w:rsid w:val="00613FAC"/>
    <w:rsid w:val="00615076"/>
    <w:rsid w:val="00616C7D"/>
    <w:rsid w:val="0061712B"/>
    <w:rsid w:val="00617B3F"/>
    <w:rsid w:val="0062545A"/>
    <w:rsid w:val="006271C6"/>
    <w:rsid w:val="00630173"/>
    <w:rsid w:val="006302CD"/>
    <w:rsid w:val="00630C1A"/>
    <w:rsid w:val="0063227B"/>
    <w:rsid w:val="00632D81"/>
    <w:rsid w:val="00636A09"/>
    <w:rsid w:val="00636F85"/>
    <w:rsid w:val="00645E08"/>
    <w:rsid w:val="006464EE"/>
    <w:rsid w:val="006510A2"/>
    <w:rsid w:val="00653DF2"/>
    <w:rsid w:val="006562F9"/>
    <w:rsid w:val="0065662B"/>
    <w:rsid w:val="0066006B"/>
    <w:rsid w:val="00660DA7"/>
    <w:rsid w:val="00663082"/>
    <w:rsid w:val="0066330E"/>
    <w:rsid w:val="00663761"/>
    <w:rsid w:val="006643BD"/>
    <w:rsid w:val="00665394"/>
    <w:rsid w:val="006659D8"/>
    <w:rsid w:val="006659F0"/>
    <w:rsid w:val="00666C8D"/>
    <w:rsid w:val="00670521"/>
    <w:rsid w:val="00672E63"/>
    <w:rsid w:val="006734E1"/>
    <w:rsid w:val="00673CFB"/>
    <w:rsid w:val="006769A1"/>
    <w:rsid w:val="00680869"/>
    <w:rsid w:val="00680A14"/>
    <w:rsid w:val="006810DC"/>
    <w:rsid w:val="00681D99"/>
    <w:rsid w:val="006820E8"/>
    <w:rsid w:val="0068262A"/>
    <w:rsid w:val="00682864"/>
    <w:rsid w:val="00687C63"/>
    <w:rsid w:val="006913DC"/>
    <w:rsid w:val="006920F6"/>
    <w:rsid w:val="006929CF"/>
    <w:rsid w:val="00693E3F"/>
    <w:rsid w:val="00694CE1"/>
    <w:rsid w:val="0069513E"/>
    <w:rsid w:val="0069775A"/>
    <w:rsid w:val="00697D08"/>
    <w:rsid w:val="006A0A06"/>
    <w:rsid w:val="006A35B3"/>
    <w:rsid w:val="006A38B7"/>
    <w:rsid w:val="006A6C43"/>
    <w:rsid w:val="006A7DE7"/>
    <w:rsid w:val="006B06F3"/>
    <w:rsid w:val="006B14AC"/>
    <w:rsid w:val="006B2510"/>
    <w:rsid w:val="006B4697"/>
    <w:rsid w:val="006B74B7"/>
    <w:rsid w:val="006B75F8"/>
    <w:rsid w:val="006B77C7"/>
    <w:rsid w:val="006B7D9C"/>
    <w:rsid w:val="006C24C4"/>
    <w:rsid w:val="006C384D"/>
    <w:rsid w:val="006C519A"/>
    <w:rsid w:val="006C59A8"/>
    <w:rsid w:val="006C6910"/>
    <w:rsid w:val="006C7CDD"/>
    <w:rsid w:val="006D05CE"/>
    <w:rsid w:val="006D3067"/>
    <w:rsid w:val="006D34BD"/>
    <w:rsid w:val="006D3899"/>
    <w:rsid w:val="006D4213"/>
    <w:rsid w:val="006D493F"/>
    <w:rsid w:val="006D5975"/>
    <w:rsid w:val="006E15C2"/>
    <w:rsid w:val="006E1FAF"/>
    <w:rsid w:val="006E360E"/>
    <w:rsid w:val="006E41F7"/>
    <w:rsid w:val="006E47FD"/>
    <w:rsid w:val="006E5728"/>
    <w:rsid w:val="006E5DA1"/>
    <w:rsid w:val="006E6C6D"/>
    <w:rsid w:val="006E77CD"/>
    <w:rsid w:val="006F18F3"/>
    <w:rsid w:val="006F2F83"/>
    <w:rsid w:val="00701231"/>
    <w:rsid w:val="0070266E"/>
    <w:rsid w:val="007031A9"/>
    <w:rsid w:val="00704163"/>
    <w:rsid w:val="00706B39"/>
    <w:rsid w:val="00706B42"/>
    <w:rsid w:val="00706CB5"/>
    <w:rsid w:val="00707619"/>
    <w:rsid w:val="00707F66"/>
    <w:rsid w:val="00712B89"/>
    <w:rsid w:val="00713766"/>
    <w:rsid w:val="00714C91"/>
    <w:rsid w:val="00715C5E"/>
    <w:rsid w:val="007212BA"/>
    <w:rsid w:val="00721F18"/>
    <w:rsid w:val="00721FAE"/>
    <w:rsid w:val="007227A4"/>
    <w:rsid w:val="007231C5"/>
    <w:rsid w:val="00723F77"/>
    <w:rsid w:val="00724A15"/>
    <w:rsid w:val="00724E76"/>
    <w:rsid w:val="00733FB3"/>
    <w:rsid w:val="0073456C"/>
    <w:rsid w:val="00736A9B"/>
    <w:rsid w:val="007402BC"/>
    <w:rsid w:val="0074169F"/>
    <w:rsid w:val="0074208D"/>
    <w:rsid w:val="007424CD"/>
    <w:rsid w:val="00746961"/>
    <w:rsid w:val="0074714C"/>
    <w:rsid w:val="007474AE"/>
    <w:rsid w:val="00750AD2"/>
    <w:rsid w:val="007549CD"/>
    <w:rsid w:val="00756064"/>
    <w:rsid w:val="00756C75"/>
    <w:rsid w:val="00757ECB"/>
    <w:rsid w:val="007608FE"/>
    <w:rsid w:val="00760C81"/>
    <w:rsid w:val="00762727"/>
    <w:rsid w:val="00766BF2"/>
    <w:rsid w:val="00767189"/>
    <w:rsid w:val="007719CF"/>
    <w:rsid w:val="00771D12"/>
    <w:rsid w:val="00772388"/>
    <w:rsid w:val="0077487F"/>
    <w:rsid w:val="0077642F"/>
    <w:rsid w:val="00777068"/>
    <w:rsid w:val="00777216"/>
    <w:rsid w:val="00784326"/>
    <w:rsid w:val="00784348"/>
    <w:rsid w:val="0078749D"/>
    <w:rsid w:val="00793A82"/>
    <w:rsid w:val="00794C0E"/>
    <w:rsid w:val="00794FDD"/>
    <w:rsid w:val="00796979"/>
    <w:rsid w:val="007A0C40"/>
    <w:rsid w:val="007A493F"/>
    <w:rsid w:val="007A721C"/>
    <w:rsid w:val="007A76FE"/>
    <w:rsid w:val="007A778D"/>
    <w:rsid w:val="007B199E"/>
    <w:rsid w:val="007B1B7E"/>
    <w:rsid w:val="007C2E99"/>
    <w:rsid w:val="007C2F07"/>
    <w:rsid w:val="007C34E1"/>
    <w:rsid w:val="007C3FEC"/>
    <w:rsid w:val="007D0234"/>
    <w:rsid w:val="007D19BA"/>
    <w:rsid w:val="007D2427"/>
    <w:rsid w:val="007D2930"/>
    <w:rsid w:val="007D2966"/>
    <w:rsid w:val="007D31EE"/>
    <w:rsid w:val="007D44A6"/>
    <w:rsid w:val="007D5DB8"/>
    <w:rsid w:val="007E0ED2"/>
    <w:rsid w:val="007E1FBD"/>
    <w:rsid w:val="007E4666"/>
    <w:rsid w:val="007E4890"/>
    <w:rsid w:val="007E5580"/>
    <w:rsid w:val="007E5657"/>
    <w:rsid w:val="007E68AA"/>
    <w:rsid w:val="007F0D5C"/>
    <w:rsid w:val="007F2C0A"/>
    <w:rsid w:val="007F320D"/>
    <w:rsid w:val="007F37D4"/>
    <w:rsid w:val="007F3F40"/>
    <w:rsid w:val="007F47A6"/>
    <w:rsid w:val="007F4974"/>
    <w:rsid w:val="00804288"/>
    <w:rsid w:val="008056A7"/>
    <w:rsid w:val="008119E4"/>
    <w:rsid w:val="00812B3F"/>
    <w:rsid w:val="00814032"/>
    <w:rsid w:val="00820A58"/>
    <w:rsid w:val="00825443"/>
    <w:rsid w:val="0082575E"/>
    <w:rsid w:val="00842670"/>
    <w:rsid w:val="0084544C"/>
    <w:rsid w:val="00845552"/>
    <w:rsid w:val="008515FF"/>
    <w:rsid w:val="008573F6"/>
    <w:rsid w:val="00860925"/>
    <w:rsid w:val="00861830"/>
    <w:rsid w:val="00864728"/>
    <w:rsid w:val="00864796"/>
    <w:rsid w:val="008658C6"/>
    <w:rsid w:val="00866BCD"/>
    <w:rsid w:val="00867AE0"/>
    <w:rsid w:val="00870AAE"/>
    <w:rsid w:val="0087227B"/>
    <w:rsid w:val="00872E23"/>
    <w:rsid w:val="00873818"/>
    <w:rsid w:val="00873BDC"/>
    <w:rsid w:val="00875A3F"/>
    <w:rsid w:val="00875E37"/>
    <w:rsid w:val="00876289"/>
    <w:rsid w:val="008779F6"/>
    <w:rsid w:val="00882708"/>
    <w:rsid w:val="00883700"/>
    <w:rsid w:val="008855D7"/>
    <w:rsid w:val="00886DC1"/>
    <w:rsid w:val="00886F23"/>
    <w:rsid w:val="008875D5"/>
    <w:rsid w:val="00887B52"/>
    <w:rsid w:val="00892D5C"/>
    <w:rsid w:val="00893CAD"/>
    <w:rsid w:val="008A23CA"/>
    <w:rsid w:val="008A23F3"/>
    <w:rsid w:val="008A3E97"/>
    <w:rsid w:val="008A5DA9"/>
    <w:rsid w:val="008A651D"/>
    <w:rsid w:val="008A66C1"/>
    <w:rsid w:val="008A67F6"/>
    <w:rsid w:val="008C00DC"/>
    <w:rsid w:val="008C2498"/>
    <w:rsid w:val="008C29BD"/>
    <w:rsid w:val="008C3190"/>
    <w:rsid w:val="008C333F"/>
    <w:rsid w:val="008C605C"/>
    <w:rsid w:val="008C7368"/>
    <w:rsid w:val="008D133A"/>
    <w:rsid w:val="008D1D26"/>
    <w:rsid w:val="008D1F83"/>
    <w:rsid w:val="008D49F8"/>
    <w:rsid w:val="008D6789"/>
    <w:rsid w:val="008D7A8E"/>
    <w:rsid w:val="008E07E2"/>
    <w:rsid w:val="008E242A"/>
    <w:rsid w:val="008E2501"/>
    <w:rsid w:val="008E2E52"/>
    <w:rsid w:val="008E3191"/>
    <w:rsid w:val="008E36CF"/>
    <w:rsid w:val="008E3827"/>
    <w:rsid w:val="008E5C7D"/>
    <w:rsid w:val="008E63A2"/>
    <w:rsid w:val="008E6515"/>
    <w:rsid w:val="008F0EA2"/>
    <w:rsid w:val="008F13BB"/>
    <w:rsid w:val="008F1462"/>
    <w:rsid w:val="008F3D99"/>
    <w:rsid w:val="008F5224"/>
    <w:rsid w:val="0090447F"/>
    <w:rsid w:val="0090746D"/>
    <w:rsid w:val="00907E8B"/>
    <w:rsid w:val="009111D6"/>
    <w:rsid w:val="009140CF"/>
    <w:rsid w:val="0092311F"/>
    <w:rsid w:val="009237BB"/>
    <w:rsid w:val="00925C11"/>
    <w:rsid w:val="00930373"/>
    <w:rsid w:val="00931F77"/>
    <w:rsid w:val="00937713"/>
    <w:rsid w:val="009412E2"/>
    <w:rsid w:val="00941354"/>
    <w:rsid w:val="00941FD8"/>
    <w:rsid w:val="00943669"/>
    <w:rsid w:val="00945244"/>
    <w:rsid w:val="00945B85"/>
    <w:rsid w:val="009460D8"/>
    <w:rsid w:val="00952274"/>
    <w:rsid w:val="00952640"/>
    <w:rsid w:val="00953492"/>
    <w:rsid w:val="0095446A"/>
    <w:rsid w:val="00954A74"/>
    <w:rsid w:val="00954C1C"/>
    <w:rsid w:val="009601A8"/>
    <w:rsid w:val="00964E7E"/>
    <w:rsid w:val="00965850"/>
    <w:rsid w:val="009704E2"/>
    <w:rsid w:val="0097071C"/>
    <w:rsid w:val="00970A87"/>
    <w:rsid w:val="00972FB1"/>
    <w:rsid w:val="00974459"/>
    <w:rsid w:val="0097509E"/>
    <w:rsid w:val="009750BF"/>
    <w:rsid w:val="009775E2"/>
    <w:rsid w:val="00977D43"/>
    <w:rsid w:val="00981970"/>
    <w:rsid w:val="009820BB"/>
    <w:rsid w:val="0098580C"/>
    <w:rsid w:val="0098682A"/>
    <w:rsid w:val="00986966"/>
    <w:rsid w:val="00990190"/>
    <w:rsid w:val="00993CAE"/>
    <w:rsid w:val="009945E7"/>
    <w:rsid w:val="009A144B"/>
    <w:rsid w:val="009A1E36"/>
    <w:rsid w:val="009A46B2"/>
    <w:rsid w:val="009A4BC1"/>
    <w:rsid w:val="009A5020"/>
    <w:rsid w:val="009A7F2A"/>
    <w:rsid w:val="009B10FD"/>
    <w:rsid w:val="009B15B7"/>
    <w:rsid w:val="009B26C4"/>
    <w:rsid w:val="009B3B01"/>
    <w:rsid w:val="009B58E7"/>
    <w:rsid w:val="009B6B19"/>
    <w:rsid w:val="009B7026"/>
    <w:rsid w:val="009C0BBF"/>
    <w:rsid w:val="009C2086"/>
    <w:rsid w:val="009C284D"/>
    <w:rsid w:val="009C37C6"/>
    <w:rsid w:val="009C43E4"/>
    <w:rsid w:val="009C45CE"/>
    <w:rsid w:val="009C752C"/>
    <w:rsid w:val="009D18B7"/>
    <w:rsid w:val="009D3158"/>
    <w:rsid w:val="009D59A1"/>
    <w:rsid w:val="009D7EBB"/>
    <w:rsid w:val="009E010E"/>
    <w:rsid w:val="009E115A"/>
    <w:rsid w:val="009E2254"/>
    <w:rsid w:val="009E22A6"/>
    <w:rsid w:val="009E2F95"/>
    <w:rsid w:val="009E4272"/>
    <w:rsid w:val="009E4AB0"/>
    <w:rsid w:val="009E589D"/>
    <w:rsid w:val="009F24A7"/>
    <w:rsid w:val="009F28B5"/>
    <w:rsid w:val="00A006F9"/>
    <w:rsid w:val="00A011E7"/>
    <w:rsid w:val="00A015AB"/>
    <w:rsid w:val="00A04BA5"/>
    <w:rsid w:val="00A04CA8"/>
    <w:rsid w:val="00A05A84"/>
    <w:rsid w:val="00A06208"/>
    <w:rsid w:val="00A068A6"/>
    <w:rsid w:val="00A07B2E"/>
    <w:rsid w:val="00A1292A"/>
    <w:rsid w:val="00A14565"/>
    <w:rsid w:val="00A15758"/>
    <w:rsid w:val="00A22952"/>
    <w:rsid w:val="00A240EB"/>
    <w:rsid w:val="00A31989"/>
    <w:rsid w:val="00A372DE"/>
    <w:rsid w:val="00A4236C"/>
    <w:rsid w:val="00A43A1E"/>
    <w:rsid w:val="00A46537"/>
    <w:rsid w:val="00A50011"/>
    <w:rsid w:val="00A50D71"/>
    <w:rsid w:val="00A513CA"/>
    <w:rsid w:val="00A5266D"/>
    <w:rsid w:val="00A52B6B"/>
    <w:rsid w:val="00A5644C"/>
    <w:rsid w:val="00A605B2"/>
    <w:rsid w:val="00A624B5"/>
    <w:rsid w:val="00A649CD"/>
    <w:rsid w:val="00A64A14"/>
    <w:rsid w:val="00A65E9A"/>
    <w:rsid w:val="00A666E4"/>
    <w:rsid w:val="00A668CA"/>
    <w:rsid w:val="00A67AE7"/>
    <w:rsid w:val="00A70D96"/>
    <w:rsid w:val="00A73A99"/>
    <w:rsid w:val="00A73BAB"/>
    <w:rsid w:val="00A7426F"/>
    <w:rsid w:val="00A804AC"/>
    <w:rsid w:val="00A817BC"/>
    <w:rsid w:val="00A82361"/>
    <w:rsid w:val="00A85EBB"/>
    <w:rsid w:val="00A912C5"/>
    <w:rsid w:val="00A9475D"/>
    <w:rsid w:val="00A94E59"/>
    <w:rsid w:val="00A97789"/>
    <w:rsid w:val="00AA13C0"/>
    <w:rsid w:val="00AA2059"/>
    <w:rsid w:val="00AA2B79"/>
    <w:rsid w:val="00AA7731"/>
    <w:rsid w:val="00AB3812"/>
    <w:rsid w:val="00AB643C"/>
    <w:rsid w:val="00AB6D79"/>
    <w:rsid w:val="00AB7320"/>
    <w:rsid w:val="00AC03E7"/>
    <w:rsid w:val="00AC2432"/>
    <w:rsid w:val="00AC3700"/>
    <w:rsid w:val="00AC6ACD"/>
    <w:rsid w:val="00AC7AC1"/>
    <w:rsid w:val="00AD05B5"/>
    <w:rsid w:val="00AD146D"/>
    <w:rsid w:val="00AD20AC"/>
    <w:rsid w:val="00AD4114"/>
    <w:rsid w:val="00AE3914"/>
    <w:rsid w:val="00AF0961"/>
    <w:rsid w:val="00AF0FB4"/>
    <w:rsid w:val="00AF1D33"/>
    <w:rsid w:val="00AF443A"/>
    <w:rsid w:val="00AF705A"/>
    <w:rsid w:val="00B02C50"/>
    <w:rsid w:val="00B10AD5"/>
    <w:rsid w:val="00B119E1"/>
    <w:rsid w:val="00B12735"/>
    <w:rsid w:val="00B127A0"/>
    <w:rsid w:val="00B14191"/>
    <w:rsid w:val="00B16014"/>
    <w:rsid w:val="00B166C6"/>
    <w:rsid w:val="00B17697"/>
    <w:rsid w:val="00B21425"/>
    <w:rsid w:val="00B21548"/>
    <w:rsid w:val="00B23C85"/>
    <w:rsid w:val="00B24AF0"/>
    <w:rsid w:val="00B24BBD"/>
    <w:rsid w:val="00B26EBB"/>
    <w:rsid w:val="00B27855"/>
    <w:rsid w:val="00B30C59"/>
    <w:rsid w:val="00B3280A"/>
    <w:rsid w:val="00B32C74"/>
    <w:rsid w:val="00B334EC"/>
    <w:rsid w:val="00B348C2"/>
    <w:rsid w:val="00B350CB"/>
    <w:rsid w:val="00B37201"/>
    <w:rsid w:val="00B451DA"/>
    <w:rsid w:val="00B45236"/>
    <w:rsid w:val="00B4545F"/>
    <w:rsid w:val="00B46D6E"/>
    <w:rsid w:val="00B477AF"/>
    <w:rsid w:val="00B51AB2"/>
    <w:rsid w:val="00B5569D"/>
    <w:rsid w:val="00B560B6"/>
    <w:rsid w:val="00B5636E"/>
    <w:rsid w:val="00B629CE"/>
    <w:rsid w:val="00B6451E"/>
    <w:rsid w:val="00B71EA7"/>
    <w:rsid w:val="00B72138"/>
    <w:rsid w:val="00B73CB9"/>
    <w:rsid w:val="00B82459"/>
    <w:rsid w:val="00B82FEA"/>
    <w:rsid w:val="00B83CD1"/>
    <w:rsid w:val="00B848F2"/>
    <w:rsid w:val="00B867BD"/>
    <w:rsid w:val="00B86999"/>
    <w:rsid w:val="00B90181"/>
    <w:rsid w:val="00B94C59"/>
    <w:rsid w:val="00B95D28"/>
    <w:rsid w:val="00BA07E1"/>
    <w:rsid w:val="00BA0919"/>
    <w:rsid w:val="00BA0943"/>
    <w:rsid w:val="00BA2057"/>
    <w:rsid w:val="00BA4C39"/>
    <w:rsid w:val="00BA5BE0"/>
    <w:rsid w:val="00BA7627"/>
    <w:rsid w:val="00BB08DE"/>
    <w:rsid w:val="00BB4E0A"/>
    <w:rsid w:val="00BB5F0F"/>
    <w:rsid w:val="00BB64D2"/>
    <w:rsid w:val="00BC1E0A"/>
    <w:rsid w:val="00BC2981"/>
    <w:rsid w:val="00BC2DFB"/>
    <w:rsid w:val="00BC4C98"/>
    <w:rsid w:val="00BC52F6"/>
    <w:rsid w:val="00BC6384"/>
    <w:rsid w:val="00BC6B57"/>
    <w:rsid w:val="00BC7A7F"/>
    <w:rsid w:val="00BD1298"/>
    <w:rsid w:val="00BD1EA5"/>
    <w:rsid w:val="00BD272A"/>
    <w:rsid w:val="00BD294F"/>
    <w:rsid w:val="00BD513C"/>
    <w:rsid w:val="00BD54ED"/>
    <w:rsid w:val="00BD60EE"/>
    <w:rsid w:val="00BD6361"/>
    <w:rsid w:val="00BE2C59"/>
    <w:rsid w:val="00BE36EF"/>
    <w:rsid w:val="00BE4662"/>
    <w:rsid w:val="00BE5EFC"/>
    <w:rsid w:val="00BF04E0"/>
    <w:rsid w:val="00BF21AE"/>
    <w:rsid w:val="00BF401C"/>
    <w:rsid w:val="00BF66F1"/>
    <w:rsid w:val="00BF6E32"/>
    <w:rsid w:val="00C0089B"/>
    <w:rsid w:val="00C04DBE"/>
    <w:rsid w:val="00C06335"/>
    <w:rsid w:val="00C06D17"/>
    <w:rsid w:val="00C06D18"/>
    <w:rsid w:val="00C1053B"/>
    <w:rsid w:val="00C11234"/>
    <w:rsid w:val="00C11248"/>
    <w:rsid w:val="00C151F1"/>
    <w:rsid w:val="00C15474"/>
    <w:rsid w:val="00C158C7"/>
    <w:rsid w:val="00C161BC"/>
    <w:rsid w:val="00C175DC"/>
    <w:rsid w:val="00C209AE"/>
    <w:rsid w:val="00C21543"/>
    <w:rsid w:val="00C2270E"/>
    <w:rsid w:val="00C23717"/>
    <w:rsid w:val="00C25680"/>
    <w:rsid w:val="00C2588F"/>
    <w:rsid w:val="00C2608F"/>
    <w:rsid w:val="00C2715A"/>
    <w:rsid w:val="00C30820"/>
    <w:rsid w:val="00C33586"/>
    <w:rsid w:val="00C34CAF"/>
    <w:rsid w:val="00C36FA4"/>
    <w:rsid w:val="00C37A0E"/>
    <w:rsid w:val="00C40DA3"/>
    <w:rsid w:val="00C42A14"/>
    <w:rsid w:val="00C4306B"/>
    <w:rsid w:val="00C431A2"/>
    <w:rsid w:val="00C44546"/>
    <w:rsid w:val="00C45213"/>
    <w:rsid w:val="00C45D0E"/>
    <w:rsid w:val="00C45F66"/>
    <w:rsid w:val="00C465FE"/>
    <w:rsid w:val="00C55907"/>
    <w:rsid w:val="00C60AA0"/>
    <w:rsid w:val="00C618EA"/>
    <w:rsid w:val="00C61CCA"/>
    <w:rsid w:val="00C62793"/>
    <w:rsid w:val="00C631EA"/>
    <w:rsid w:val="00C64299"/>
    <w:rsid w:val="00C671A1"/>
    <w:rsid w:val="00C67C09"/>
    <w:rsid w:val="00C67DC1"/>
    <w:rsid w:val="00C70D89"/>
    <w:rsid w:val="00C71E40"/>
    <w:rsid w:val="00C72647"/>
    <w:rsid w:val="00C743C6"/>
    <w:rsid w:val="00C772F3"/>
    <w:rsid w:val="00C77B57"/>
    <w:rsid w:val="00C80A6E"/>
    <w:rsid w:val="00C8169A"/>
    <w:rsid w:val="00C81B02"/>
    <w:rsid w:val="00C849D9"/>
    <w:rsid w:val="00C8580F"/>
    <w:rsid w:val="00C86BDE"/>
    <w:rsid w:val="00C86E99"/>
    <w:rsid w:val="00C86EBF"/>
    <w:rsid w:val="00C91D23"/>
    <w:rsid w:val="00C92620"/>
    <w:rsid w:val="00C93C9B"/>
    <w:rsid w:val="00C953AC"/>
    <w:rsid w:val="00C96DB1"/>
    <w:rsid w:val="00CA1BCC"/>
    <w:rsid w:val="00CA355A"/>
    <w:rsid w:val="00CA3DC1"/>
    <w:rsid w:val="00CB0673"/>
    <w:rsid w:val="00CB272E"/>
    <w:rsid w:val="00CB2C8F"/>
    <w:rsid w:val="00CB4134"/>
    <w:rsid w:val="00CB5B5E"/>
    <w:rsid w:val="00CB6B15"/>
    <w:rsid w:val="00CB7E3C"/>
    <w:rsid w:val="00CC0858"/>
    <w:rsid w:val="00CC095F"/>
    <w:rsid w:val="00CC2826"/>
    <w:rsid w:val="00CC28FF"/>
    <w:rsid w:val="00CC2D3A"/>
    <w:rsid w:val="00CC719F"/>
    <w:rsid w:val="00CD15FB"/>
    <w:rsid w:val="00CD2F16"/>
    <w:rsid w:val="00CD4166"/>
    <w:rsid w:val="00CD4EC8"/>
    <w:rsid w:val="00CD52B0"/>
    <w:rsid w:val="00CD74B3"/>
    <w:rsid w:val="00CD74CB"/>
    <w:rsid w:val="00CD7B0C"/>
    <w:rsid w:val="00CE1742"/>
    <w:rsid w:val="00CE5A2F"/>
    <w:rsid w:val="00CF2676"/>
    <w:rsid w:val="00CF6E4B"/>
    <w:rsid w:val="00D011D8"/>
    <w:rsid w:val="00D02432"/>
    <w:rsid w:val="00D034AB"/>
    <w:rsid w:val="00D11924"/>
    <w:rsid w:val="00D126C5"/>
    <w:rsid w:val="00D1667C"/>
    <w:rsid w:val="00D20E0E"/>
    <w:rsid w:val="00D2100C"/>
    <w:rsid w:val="00D23F8E"/>
    <w:rsid w:val="00D30265"/>
    <w:rsid w:val="00D309BC"/>
    <w:rsid w:val="00D322F7"/>
    <w:rsid w:val="00D34392"/>
    <w:rsid w:val="00D34C1D"/>
    <w:rsid w:val="00D37171"/>
    <w:rsid w:val="00D4131C"/>
    <w:rsid w:val="00D42C33"/>
    <w:rsid w:val="00D446D8"/>
    <w:rsid w:val="00D44F27"/>
    <w:rsid w:val="00D4519B"/>
    <w:rsid w:val="00D459DF"/>
    <w:rsid w:val="00D46AEE"/>
    <w:rsid w:val="00D46C04"/>
    <w:rsid w:val="00D476F3"/>
    <w:rsid w:val="00D47B8F"/>
    <w:rsid w:val="00D5012B"/>
    <w:rsid w:val="00D51D48"/>
    <w:rsid w:val="00D5316B"/>
    <w:rsid w:val="00D535EA"/>
    <w:rsid w:val="00D563B4"/>
    <w:rsid w:val="00D565C4"/>
    <w:rsid w:val="00D572EB"/>
    <w:rsid w:val="00D6191B"/>
    <w:rsid w:val="00D621C5"/>
    <w:rsid w:val="00D627CA"/>
    <w:rsid w:val="00D6314E"/>
    <w:rsid w:val="00D67CC2"/>
    <w:rsid w:val="00D717B0"/>
    <w:rsid w:val="00D7558A"/>
    <w:rsid w:val="00D7623F"/>
    <w:rsid w:val="00D77D0B"/>
    <w:rsid w:val="00D82195"/>
    <w:rsid w:val="00D833F0"/>
    <w:rsid w:val="00D863C7"/>
    <w:rsid w:val="00D866CB"/>
    <w:rsid w:val="00D87C7C"/>
    <w:rsid w:val="00D90441"/>
    <w:rsid w:val="00D96496"/>
    <w:rsid w:val="00D969B4"/>
    <w:rsid w:val="00D96C7D"/>
    <w:rsid w:val="00DA090C"/>
    <w:rsid w:val="00DA1CB2"/>
    <w:rsid w:val="00DA2281"/>
    <w:rsid w:val="00DA5B58"/>
    <w:rsid w:val="00DA5FB2"/>
    <w:rsid w:val="00DA7515"/>
    <w:rsid w:val="00DB01CE"/>
    <w:rsid w:val="00DB1D00"/>
    <w:rsid w:val="00DB22BE"/>
    <w:rsid w:val="00DB411F"/>
    <w:rsid w:val="00DB4A47"/>
    <w:rsid w:val="00DB6366"/>
    <w:rsid w:val="00DB6C5C"/>
    <w:rsid w:val="00DB7EBC"/>
    <w:rsid w:val="00DC54D7"/>
    <w:rsid w:val="00DD02C8"/>
    <w:rsid w:val="00DD2529"/>
    <w:rsid w:val="00DD27CB"/>
    <w:rsid w:val="00DD3D00"/>
    <w:rsid w:val="00DD44D2"/>
    <w:rsid w:val="00DD6158"/>
    <w:rsid w:val="00DD7722"/>
    <w:rsid w:val="00DD7EC7"/>
    <w:rsid w:val="00DE3511"/>
    <w:rsid w:val="00DE3B93"/>
    <w:rsid w:val="00DE4D05"/>
    <w:rsid w:val="00DE5922"/>
    <w:rsid w:val="00DE7AF2"/>
    <w:rsid w:val="00DF1540"/>
    <w:rsid w:val="00DF1B94"/>
    <w:rsid w:val="00DF2E2D"/>
    <w:rsid w:val="00DF3462"/>
    <w:rsid w:val="00DF6292"/>
    <w:rsid w:val="00DF62FF"/>
    <w:rsid w:val="00E02B91"/>
    <w:rsid w:val="00E02E62"/>
    <w:rsid w:val="00E03597"/>
    <w:rsid w:val="00E035C0"/>
    <w:rsid w:val="00E03749"/>
    <w:rsid w:val="00E041DB"/>
    <w:rsid w:val="00E04F82"/>
    <w:rsid w:val="00E06514"/>
    <w:rsid w:val="00E07C2A"/>
    <w:rsid w:val="00E102B8"/>
    <w:rsid w:val="00E1094D"/>
    <w:rsid w:val="00E123F0"/>
    <w:rsid w:val="00E135DB"/>
    <w:rsid w:val="00E21BC0"/>
    <w:rsid w:val="00E21D35"/>
    <w:rsid w:val="00E21E58"/>
    <w:rsid w:val="00E2267A"/>
    <w:rsid w:val="00E22F85"/>
    <w:rsid w:val="00E23591"/>
    <w:rsid w:val="00E23850"/>
    <w:rsid w:val="00E24561"/>
    <w:rsid w:val="00E24815"/>
    <w:rsid w:val="00E27AD8"/>
    <w:rsid w:val="00E30677"/>
    <w:rsid w:val="00E30C23"/>
    <w:rsid w:val="00E335EE"/>
    <w:rsid w:val="00E36215"/>
    <w:rsid w:val="00E37A92"/>
    <w:rsid w:val="00E513A9"/>
    <w:rsid w:val="00E534C4"/>
    <w:rsid w:val="00E5405C"/>
    <w:rsid w:val="00E54408"/>
    <w:rsid w:val="00E563AB"/>
    <w:rsid w:val="00E62910"/>
    <w:rsid w:val="00E62DD3"/>
    <w:rsid w:val="00E63224"/>
    <w:rsid w:val="00E6758F"/>
    <w:rsid w:val="00E84127"/>
    <w:rsid w:val="00E869EB"/>
    <w:rsid w:val="00E86FCC"/>
    <w:rsid w:val="00E91034"/>
    <w:rsid w:val="00E91AF6"/>
    <w:rsid w:val="00E91F0B"/>
    <w:rsid w:val="00E9350E"/>
    <w:rsid w:val="00E939FC"/>
    <w:rsid w:val="00E9536C"/>
    <w:rsid w:val="00EA03FB"/>
    <w:rsid w:val="00EA06DB"/>
    <w:rsid w:val="00EA10A5"/>
    <w:rsid w:val="00EA1118"/>
    <w:rsid w:val="00EA12DF"/>
    <w:rsid w:val="00EA147E"/>
    <w:rsid w:val="00EA34BE"/>
    <w:rsid w:val="00EA6402"/>
    <w:rsid w:val="00EA763E"/>
    <w:rsid w:val="00EB069E"/>
    <w:rsid w:val="00EB1CB0"/>
    <w:rsid w:val="00EB3412"/>
    <w:rsid w:val="00EB5C3F"/>
    <w:rsid w:val="00EB7EEF"/>
    <w:rsid w:val="00EC176A"/>
    <w:rsid w:val="00EC2A55"/>
    <w:rsid w:val="00EC36C8"/>
    <w:rsid w:val="00EC52BF"/>
    <w:rsid w:val="00EC6C00"/>
    <w:rsid w:val="00ED002F"/>
    <w:rsid w:val="00ED4A02"/>
    <w:rsid w:val="00ED4F1B"/>
    <w:rsid w:val="00ED6828"/>
    <w:rsid w:val="00ED6E11"/>
    <w:rsid w:val="00EE1271"/>
    <w:rsid w:val="00EE1EBC"/>
    <w:rsid w:val="00EE241A"/>
    <w:rsid w:val="00EE3A4B"/>
    <w:rsid w:val="00EE4B89"/>
    <w:rsid w:val="00EE63D7"/>
    <w:rsid w:val="00EE6626"/>
    <w:rsid w:val="00EE7356"/>
    <w:rsid w:val="00EE7C88"/>
    <w:rsid w:val="00EF17A5"/>
    <w:rsid w:val="00EF423E"/>
    <w:rsid w:val="00EF4C6E"/>
    <w:rsid w:val="00F00988"/>
    <w:rsid w:val="00F00DF7"/>
    <w:rsid w:val="00F00EF8"/>
    <w:rsid w:val="00F018B5"/>
    <w:rsid w:val="00F02413"/>
    <w:rsid w:val="00F03A95"/>
    <w:rsid w:val="00F132C0"/>
    <w:rsid w:val="00F14035"/>
    <w:rsid w:val="00F16644"/>
    <w:rsid w:val="00F172E3"/>
    <w:rsid w:val="00F22A7D"/>
    <w:rsid w:val="00F22B4E"/>
    <w:rsid w:val="00F234C0"/>
    <w:rsid w:val="00F2360C"/>
    <w:rsid w:val="00F243C1"/>
    <w:rsid w:val="00F24BBA"/>
    <w:rsid w:val="00F25C0C"/>
    <w:rsid w:val="00F269CF"/>
    <w:rsid w:val="00F35322"/>
    <w:rsid w:val="00F40F1F"/>
    <w:rsid w:val="00F43FDF"/>
    <w:rsid w:val="00F4401A"/>
    <w:rsid w:val="00F45674"/>
    <w:rsid w:val="00F46CEB"/>
    <w:rsid w:val="00F47A77"/>
    <w:rsid w:val="00F502DB"/>
    <w:rsid w:val="00F5150C"/>
    <w:rsid w:val="00F53FD7"/>
    <w:rsid w:val="00F54630"/>
    <w:rsid w:val="00F55971"/>
    <w:rsid w:val="00F55CF8"/>
    <w:rsid w:val="00F56DF6"/>
    <w:rsid w:val="00F57714"/>
    <w:rsid w:val="00F6323A"/>
    <w:rsid w:val="00F632BE"/>
    <w:rsid w:val="00F637D0"/>
    <w:rsid w:val="00F63EBD"/>
    <w:rsid w:val="00F6448E"/>
    <w:rsid w:val="00F67E36"/>
    <w:rsid w:val="00F70D04"/>
    <w:rsid w:val="00F71C45"/>
    <w:rsid w:val="00F72B24"/>
    <w:rsid w:val="00F72C35"/>
    <w:rsid w:val="00F73E96"/>
    <w:rsid w:val="00F768E9"/>
    <w:rsid w:val="00F80A0E"/>
    <w:rsid w:val="00F80B06"/>
    <w:rsid w:val="00F80FC2"/>
    <w:rsid w:val="00F828B7"/>
    <w:rsid w:val="00F82E0F"/>
    <w:rsid w:val="00F84D50"/>
    <w:rsid w:val="00F917EE"/>
    <w:rsid w:val="00F93136"/>
    <w:rsid w:val="00F942F1"/>
    <w:rsid w:val="00F96153"/>
    <w:rsid w:val="00F96961"/>
    <w:rsid w:val="00F96C68"/>
    <w:rsid w:val="00F9717A"/>
    <w:rsid w:val="00F976EB"/>
    <w:rsid w:val="00FA02B3"/>
    <w:rsid w:val="00FA1BD6"/>
    <w:rsid w:val="00FA42B6"/>
    <w:rsid w:val="00FA4C07"/>
    <w:rsid w:val="00FA4D73"/>
    <w:rsid w:val="00FA659C"/>
    <w:rsid w:val="00FA6F6B"/>
    <w:rsid w:val="00FB19AA"/>
    <w:rsid w:val="00FB317F"/>
    <w:rsid w:val="00FB4DA3"/>
    <w:rsid w:val="00FB66F2"/>
    <w:rsid w:val="00FB757C"/>
    <w:rsid w:val="00FB79BD"/>
    <w:rsid w:val="00FC2156"/>
    <w:rsid w:val="00FC4008"/>
    <w:rsid w:val="00FC6A65"/>
    <w:rsid w:val="00FC6B9B"/>
    <w:rsid w:val="00FC74DE"/>
    <w:rsid w:val="00FD0C47"/>
    <w:rsid w:val="00FD1746"/>
    <w:rsid w:val="00FD17D2"/>
    <w:rsid w:val="00FD30CB"/>
    <w:rsid w:val="00FD3702"/>
    <w:rsid w:val="00FD3BBB"/>
    <w:rsid w:val="00FD4051"/>
    <w:rsid w:val="00FD7420"/>
    <w:rsid w:val="00FD78E7"/>
    <w:rsid w:val="00FE40CA"/>
    <w:rsid w:val="00FE47FF"/>
    <w:rsid w:val="00FE79F1"/>
    <w:rsid w:val="00FF2639"/>
    <w:rsid w:val="00FF39A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322DB7"/>
  <w15:docId w15:val="{A100079E-9A8F-4B41-9A24-274E9B5C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46A7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312E9D"/>
    <w:pPr>
      <w:keepNext/>
      <w:numPr>
        <w:ilvl w:val="1"/>
        <w:numId w:val="1"/>
      </w:numPr>
      <w:snapToGrid w:val="0"/>
      <w:spacing w:after="0" w:line="240" w:lineRule="auto"/>
      <w:ind w:right="48"/>
      <w:jc w:val="both"/>
      <w:outlineLvl w:val="1"/>
    </w:pPr>
    <w:rPr>
      <w:rFonts w:ascii="Arial" w:hAnsi="Arial" w:cs="Arial"/>
      <w:b/>
      <w:bCs/>
      <w:sz w:val="20"/>
      <w:szCs w:val="20"/>
      <w:lang w:eastAsia="es-MX"/>
    </w:rPr>
  </w:style>
  <w:style w:type="paragraph" w:styleId="Ttulo3">
    <w:name w:val="heading 3"/>
    <w:basedOn w:val="Normal"/>
    <w:next w:val="Normal"/>
    <w:link w:val="Ttulo3Car"/>
    <w:uiPriority w:val="9"/>
    <w:unhideWhenUsed/>
    <w:qFormat/>
    <w:rsid w:val="00246A7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46A7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46A7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46A7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46A7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46A7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46A7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637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37D0"/>
    <w:rPr>
      <w:rFonts w:ascii="Tahoma" w:hAnsi="Tahoma" w:cs="Tahoma"/>
      <w:sz w:val="16"/>
      <w:szCs w:val="16"/>
    </w:rPr>
  </w:style>
  <w:style w:type="paragraph" w:styleId="Encabezado">
    <w:name w:val="header"/>
    <w:basedOn w:val="Normal"/>
    <w:link w:val="EncabezadoCar"/>
    <w:uiPriority w:val="99"/>
    <w:unhideWhenUsed/>
    <w:rsid w:val="00F637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7D0"/>
  </w:style>
  <w:style w:type="paragraph" w:styleId="Piedepgina">
    <w:name w:val="footer"/>
    <w:basedOn w:val="Normal"/>
    <w:link w:val="PiedepginaCar"/>
    <w:uiPriority w:val="99"/>
    <w:unhideWhenUsed/>
    <w:rsid w:val="00F637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7D0"/>
  </w:style>
  <w:style w:type="character" w:customStyle="1" w:styleId="Ttulo2Car">
    <w:name w:val="Título 2 Car"/>
    <w:basedOn w:val="Fuentedeprrafopredeter"/>
    <w:link w:val="Ttulo2"/>
    <w:uiPriority w:val="9"/>
    <w:rsid w:val="00312E9D"/>
    <w:rPr>
      <w:rFonts w:ascii="Arial" w:hAnsi="Arial" w:cs="Arial"/>
      <w:b/>
      <w:bCs/>
      <w:sz w:val="20"/>
      <w:szCs w:val="20"/>
      <w:lang w:eastAsia="es-MX"/>
    </w:rPr>
  </w:style>
  <w:style w:type="paragraph" w:styleId="Textoindependiente">
    <w:name w:val="Body Text"/>
    <w:basedOn w:val="Normal"/>
    <w:link w:val="TextoindependienteCar"/>
    <w:uiPriority w:val="99"/>
    <w:semiHidden/>
    <w:unhideWhenUsed/>
    <w:rsid w:val="00312E9D"/>
    <w:pPr>
      <w:snapToGrid w:val="0"/>
      <w:spacing w:after="0" w:line="240" w:lineRule="auto"/>
    </w:pPr>
    <w:rPr>
      <w:rFonts w:ascii="Arial" w:hAnsi="Arial" w:cs="Arial"/>
      <w:lang w:eastAsia="es-MX"/>
    </w:rPr>
  </w:style>
  <w:style w:type="character" w:customStyle="1" w:styleId="TextoindependienteCar">
    <w:name w:val="Texto independiente Car"/>
    <w:basedOn w:val="Fuentedeprrafopredeter"/>
    <w:link w:val="Textoindependiente"/>
    <w:uiPriority w:val="99"/>
    <w:semiHidden/>
    <w:rsid w:val="00312E9D"/>
    <w:rPr>
      <w:rFonts w:ascii="Arial" w:hAnsi="Arial" w:cs="Arial"/>
      <w:lang w:eastAsia="es-MX"/>
    </w:rPr>
  </w:style>
  <w:style w:type="paragraph" w:styleId="Sinespaciado">
    <w:name w:val="No Spacing"/>
    <w:uiPriority w:val="1"/>
    <w:qFormat/>
    <w:rsid w:val="00312E9D"/>
    <w:pPr>
      <w:spacing w:after="0" w:line="240" w:lineRule="auto"/>
    </w:pPr>
  </w:style>
  <w:style w:type="paragraph" w:customStyle="1" w:styleId="Default">
    <w:name w:val="Default"/>
    <w:rsid w:val="0036279F"/>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w:basedOn w:val="Normal"/>
    <w:link w:val="TextonotapieCar"/>
    <w:unhideWhenUsed/>
    <w:rsid w:val="00B83CD1"/>
    <w:pPr>
      <w:spacing w:after="0" w:line="240" w:lineRule="auto"/>
    </w:pPr>
    <w:rPr>
      <w:sz w:val="20"/>
      <w:szCs w:val="20"/>
    </w:rPr>
  </w:style>
  <w:style w:type="character" w:customStyle="1" w:styleId="TextonotapieCar">
    <w:name w:val="Texto nota pie Car"/>
    <w:aliases w:val="Footnote Text Char Car"/>
    <w:basedOn w:val="Fuentedeprrafopredeter"/>
    <w:link w:val="Textonotapie"/>
    <w:rsid w:val="00B83CD1"/>
    <w:rPr>
      <w:sz w:val="20"/>
      <w:szCs w:val="20"/>
    </w:rPr>
  </w:style>
  <w:style w:type="character" w:styleId="Refdenotaalpie">
    <w:name w:val="footnote reference"/>
    <w:basedOn w:val="Fuentedeprrafopredeter"/>
    <w:semiHidden/>
    <w:unhideWhenUsed/>
    <w:rsid w:val="00B83CD1"/>
    <w:rPr>
      <w:vertAlign w:val="superscript"/>
    </w:rPr>
  </w:style>
  <w:style w:type="character" w:styleId="Refdecomentario">
    <w:name w:val="annotation reference"/>
    <w:basedOn w:val="Fuentedeprrafopredeter"/>
    <w:uiPriority w:val="99"/>
    <w:semiHidden/>
    <w:unhideWhenUsed/>
    <w:rsid w:val="00091A2A"/>
    <w:rPr>
      <w:sz w:val="16"/>
      <w:szCs w:val="16"/>
    </w:rPr>
  </w:style>
  <w:style w:type="paragraph" w:styleId="Textocomentario">
    <w:name w:val="annotation text"/>
    <w:basedOn w:val="Normal"/>
    <w:link w:val="TextocomentarioCar"/>
    <w:uiPriority w:val="99"/>
    <w:semiHidden/>
    <w:unhideWhenUsed/>
    <w:rsid w:val="00091A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1A2A"/>
    <w:rPr>
      <w:sz w:val="20"/>
      <w:szCs w:val="20"/>
    </w:rPr>
  </w:style>
  <w:style w:type="paragraph" w:styleId="Asuntodelcomentario">
    <w:name w:val="annotation subject"/>
    <w:basedOn w:val="Textocomentario"/>
    <w:next w:val="Textocomentario"/>
    <w:link w:val="AsuntodelcomentarioCar"/>
    <w:uiPriority w:val="99"/>
    <w:semiHidden/>
    <w:unhideWhenUsed/>
    <w:rsid w:val="00091A2A"/>
    <w:rPr>
      <w:b/>
      <w:bCs/>
    </w:rPr>
  </w:style>
  <w:style w:type="character" w:customStyle="1" w:styleId="AsuntodelcomentarioCar">
    <w:name w:val="Asunto del comentario Car"/>
    <w:basedOn w:val="TextocomentarioCar"/>
    <w:link w:val="Asuntodelcomentario"/>
    <w:uiPriority w:val="99"/>
    <w:semiHidden/>
    <w:rsid w:val="00091A2A"/>
    <w:rPr>
      <w:b/>
      <w:bCs/>
      <w:sz w:val="20"/>
      <w:szCs w:val="20"/>
    </w:rPr>
  </w:style>
  <w:style w:type="paragraph" w:styleId="Prrafodelista">
    <w:name w:val="List Paragraph"/>
    <w:basedOn w:val="Normal"/>
    <w:uiPriority w:val="34"/>
    <w:qFormat/>
    <w:rsid w:val="00796979"/>
    <w:pPr>
      <w:ind w:left="720"/>
      <w:contextualSpacing/>
    </w:pPr>
  </w:style>
  <w:style w:type="paragraph" w:styleId="NormalWeb">
    <w:name w:val="Normal (Web)"/>
    <w:basedOn w:val="Normal"/>
    <w:uiPriority w:val="99"/>
    <w:semiHidden/>
    <w:unhideWhenUsed/>
    <w:rsid w:val="00A94E5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246A7F"/>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246A7F"/>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46A7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46A7F"/>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46A7F"/>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46A7F"/>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46A7F"/>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46A7F"/>
    <w:rPr>
      <w:rFonts w:asciiTheme="majorHAnsi" w:eastAsiaTheme="majorEastAsia" w:hAnsiTheme="majorHAnsi" w:cstheme="majorBidi"/>
      <w:i/>
      <w:iCs/>
      <w:color w:val="404040" w:themeColor="text1" w:themeTint="BF"/>
      <w:sz w:val="20"/>
      <w:szCs w:val="20"/>
    </w:rPr>
  </w:style>
  <w:style w:type="paragraph" w:styleId="Revisin">
    <w:name w:val="Revision"/>
    <w:hidden/>
    <w:uiPriority w:val="99"/>
    <w:semiHidden/>
    <w:rsid w:val="009C43E4"/>
    <w:pPr>
      <w:spacing w:after="0" w:line="240" w:lineRule="auto"/>
    </w:pPr>
  </w:style>
  <w:style w:type="paragraph" w:styleId="Descripcin">
    <w:name w:val="caption"/>
    <w:basedOn w:val="Normal"/>
    <w:next w:val="Normal"/>
    <w:uiPriority w:val="35"/>
    <w:unhideWhenUsed/>
    <w:qFormat/>
    <w:rsid w:val="004962AE"/>
    <w:pPr>
      <w:spacing w:line="240" w:lineRule="auto"/>
      <w:jc w:val="right"/>
    </w:pPr>
    <w:rPr>
      <w:rFonts w:ascii="Arial Narrow" w:hAnsi="Arial Narrow"/>
      <w:b/>
      <w:bCs/>
      <w:szCs w:val="18"/>
    </w:rPr>
  </w:style>
  <w:style w:type="character" w:styleId="Hipervnculo">
    <w:name w:val="Hyperlink"/>
    <w:basedOn w:val="Fuentedeprrafopredeter"/>
    <w:uiPriority w:val="99"/>
    <w:unhideWhenUsed/>
    <w:rsid w:val="005F0FF9"/>
    <w:rPr>
      <w:color w:val="0000FF" w:themeColor="hyperlink"/>
      <w:u w:val="single"/>
    </w:rPr>
  </w:style>
  <w:style w:type="table" w:styleId="Tablaconcuadrcula">
    <w:name w:val="Table Grid"/>
    <w:basedOn w:val="Tablanormal"/>
    <w:uiPriority w:val="59"/>
    <w:rsid w:val="004C4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5837B0"/>
    <w:rPr>
      <w:color w:val="808080"/>
    </w:rPr>
  </w:style>
  <w:style w:type="character" w:styleId="Hipervnculovisitado">
    <w:name w:val="FollowedHyperlink"/>
    <w:basedOn w:val="Fuentedeprrafopredeter"/>
    <w:uiPriority w:val="99"/>
    <w:semiHidden/>
    <w:unhideWhenUsed/>
    <w:rsid w:val="0063227B"/>
    <w:rPr>
      <w:color w:val="954F72"/>
      <w:u w:val="single"/>
    </w:rPr>
  </w:style>
  <w:style w:type="paragraph" w:customStyle="1" w:styleId="xl63">
    <w:name w:val="xl63"/>
    <w:basedOn w:val="Normal"/>
    <w:rsid w:val="0063227B"/>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4">
    <w:name w:val="xl64"/>
    <w:basedOn w:val="Normal"/>
    <w:rsid w:val="006322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5">
    <w:name w:val="xl65"/>
    <w:basedOn w:val="Normal"/>
    <w:rsid w:val="006322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6">
    <w:name w:val="xl66"/>
    <w:basedOn w:val="Normal"/>
    <w:rsid w:val="006322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7">
    <w:name w:val="xl67"/>
    <w:basedOn w:val="Normal"/>
    <w:rsid w:val="0063227B"/>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8">
    <w:name w:val="xl68"/>
    <w:basedOn w:val="Normal"/>
    <w:rsid w:val="0063227B"/>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69">
    <w:name w:val="xl69"/>
    <w:basedOn w:val="Normal"/>
    <w:rsid w:val="0063227B"/>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0">
    <w:name w:val="xl70"/>
    <w:basedOn w:val="Normal"/>
    <w:rsid w:val="0063227B"/>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1">
    <w:name w:val="xl71"/>
    <w:basedOn w:val="Normal"/>
    <w:rsid w:val="00632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2">
    <w:name w:val="xl72"/>
    <w:basedOn w:val="Normal"/>
    <w:rsid w:val="00632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3">
    <w:name w:val="xl73"/>
    <w:basedOn w:val="Normal"/>
    <w:rsid w:val="006322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styleId="Textonotaalfinal">
    <w:name w:val="endnote text"/>
    <w:basedOn w:val="Normal"/>
    <w:link w:val="TextonotaalfinalCar"/>
    <w:uiPriority w:val="99"/>
    <w:semiHidden/>
    <w:unhideWhenUsed/>
    <w:rsid w:val="00687C6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87C63"/>
    <w:rPr>
      <w:sz w:val="20"/>
      <w:szCs w:val="20"/>
    </w:rPr>
  </w:style>
  <w:style w:type="character" w:styleId="Refdenotaalfinal">
    <w:name w:val="endnote reference"/>
    <w:basedOn w:val="Fuentedeprrafopredeter"/>
    <w:uiPriority w:val="99"/>
    <w:semiHidden/>
    <w:unhideWhenUsed/>
    <w:rsid w:val="00687C63"/>
    <w:rPr>
      <w:vertAlign w:val="superscript"/>
    </w:rPr>
  </w:style>
  <w:style w:type="paragraph" w:customStyle="1" w:styleId="texto">
    <w:name w:val="texto"/>
    <w:basedOn w:val="Normal"/>
    <w:rsid w:val="00590270"/>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TextoCar">
    <w:name w:val="Texto Car"/>
    <w:basedOn w:val="ROMANOS"/>
    <w:rsid w:val="006E41F7"/>
    <w:pPr>
      <w:tabs>
        <w:tab w:val="clear" w:pos="720"/>
      </w:tabs>
      <w:ind w:left="0" w:firstLine="288"/>
    </w:pPr>
  </w:style>
  <w:style w:type="paragraph" w:customStyle="1" w:styleId="ROMANOS">
    <w:name w:val="ROMANOS"/>
    <w:basedOn w:val="Normal"/>
    <w:rsid w:val="006E41F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Texto0">
    <w:name w:val="Texto"/>
    <w:basedOn w:val="Normal"/>
    <w:rsid w:val="00C151F1"/>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66050">
      <w:bodyDiv w:val="1"/>
      <w:marLeft w:val="0"/>
      <w:marRight w:val="0"/>
      <w:marTop w:val="0"/>
      <w:marBottom w:val="0"/>
      <w:divBdr>
        <w:top w:val="none" w:sz="0" w:space="0" w:color="auto"/>
        <w:left w:val="none" w:sz="0" w:space="0" w:color="auto"/>
        <w:bottom w:val="none" w:sz="0" w:space="0" w:color="auto"/>
        <w:right w:val="none" w:sz="0" w:space="0" w:color="auto"/>
      </w:divBdr>
    </w:div>
    <w:div w:id="100298568">
      <w:bodyDiv w:val="1"/>
      <w:marLeft w:val="0"/>
      <w:marRight w:val="0"/>
      <w:marTop w:val="0"/>
      <w:marBottom w:val="0"/>
      <w:divBdr>
        <w:top w:val="none" w:sz="0" w:space="0" w:color="auto"/>
        <w:left w:val="none" w:sz="0" w:space="0" w:color="auto"/>
        <w:bottom w:val="none" w:sz="0" w:space="0" w:color="auto"/>
        <w:right w:val="none" w:sz="0" w:space="0" w:color="auto"/>
      </w:divBdr>
    </w:div>
    <w:div w:id="132718420">
      <w:bodyDiv w:val="1"/>
      <w:marLeft w:val="0"/>
      <w:marRight w:val="0"/>
      <w:marTop w:val="0"/>
      <w:marBottom w:val="0"/>
      <w:divBdr>
        <w:top w:val="none" w:sz="0" w:space="0" w:color="auto"/>
        <w:left w:val="none" w:sz="0" w:space="0" w:color="auto"/>
        <w:bottom w:val="none" w:sz="0" w:space="0" w:color="auto"/>
        <w:right w:val="none" w:sz="0" w:space="0" w:color="auto"/>
      </w:divBdr>
    </w:div>
    <w:div w:id="177933272">
      <w:bodyDiv w:val="1"/>
      <w:marLeft w:val="0"/>
      <w:marRight w:val="0"/>
      <w:marTop w:val="0"/>
      <w:marBottom w:val="0"/>
      <w:divBdr>
        <w:top w:val="none" w:sz="0" w:space="0" w:color="auto"/>
        <w:left w:val="none" w:sz="0" w:space="0" w:color="auto"/>
        <w:bottom w:val="none" w:sz="0" w:space="0" w:color="auto"/>
        <w:right w:val="none" w:sz="0" w:space="0" w:color="auto"/>
      </w:divBdr>
    </w:div>
    <w:div w:id="224604860">
      <w:bodyDiv w:val="1"/>
      <w:marLeft w:val="0"/>
      <w:marRight w:val="0"/>
      <w:marTop w:val="0"/>
      <w:marBottom w:val="0"/>
      <w:divBdr>
        <w:top w:val="none" w:sz="0" w:space="0" w:color="auto"/>
        <w:left w:val="none" w:sz="0" w:space="0" w:color="auto"/>
        <w:bottom w:val="none" w:sz="0" w:space="0" w:color="auto"/>
        <w:right w:val="none" w:sz="0" w:space="0" w:color="auto"/>
      </w:divBdr>
    </w:div>
    <w:div w:id="359211570">
      <w:bodyDiv w:val="1"/>
      <w:marLeft w:val="0"/>
      <w:marRight w:val="0"/>
      <w:marTop w:val="0"/>
      <w:marBottom w:val="0"/>
      <w:divBdr>
        <w:top w:val="none" w:sz="0" w:space="0" w:color="auto"/>
        <w:left w:val="none" w:sz="0" w:space="0" w:color="auto"/>
        <w:bottom w:val="none" w:sz="0" w:space="0" w:color="auto"/>
        <w:right w:val="none" w:sz="0" w:space="0" w:color="auto"/>
      </w:divBdr>
    </w:div>
    <w:div w:id="381026522">
      <w:bodyDiv w:val="1"/>
      <w:marLeft w:val="0"/>
      <w:marRight w:val="0"/>
      <w:marTop w:val="0"/>
      <w:marBottom w:val="0"/>
      <w:divBdr>
        <w:top w:val="none" w:sz="0" w:space="0" w:color="auto"/>
        <w:left w:val="none" w:sz="0" w:space="0" w:color="auto"/>
        <w:bottom w:val="none" w:sz="0" w:space="0" w:color="auto"/>
        <w:right w:val="none" w:sz="0" w:space="0" w:color="auto"/>
      </w:divBdr>
      <w:divsChild>
        <w:div w:id="805970293">
          <w:marLeft w:val="446"/>
          <w:marRight w:val="0"/>
          <w:marTop w:val="0"/>
          <w:marBottom w:val="0"/>
          <w:divBdr>
            <w:top w:val="none" w:sz="0" w:space="0" w:color="auto"/>
            <w:left w:val="none" w:sz="0" w:space="0" w:color="auto"/>
            <w:bottom w:val="none" w:sz="0" w:space="0" w:color="auto"/>
            <w:right w:val="none" w:sz="0" w:space="0" w:color="auto"/>
          </w:divBdr>
        </w:div>
      </w:divsChild>
    </w:div>
    <w:div w:id="382795837">
      <w:bodyDiv w:val="1"/>
      <w:marLeft w:val="0"/>
      <w:marRight w:val="0"/>
      <w:marTop w:val="0"/>
      <w:marBottom w:val="0"/>
      <w:divBdr>
        <w:top w:val="none" w:sz="0" w:space="0" w:color="auto"/>
        <w:left w:val="none" w:sz="0" w:space="0" w:color="auto"/>
        <w:bottom w:val="none" w:sz="0" w:space="0" w:color="auto"/>
        <w:right w:val="none" w:sz="0" w:space="0" w:color="auto"/>
      </w:divBdr>
    </w:div>
    <w:div w:id="433139614">
      <w:bodyDiv w:val="1"/>
      <w:marLeft w:val="0"/>
      <w:marRight w:val="0"/>
      <w:marTop w:val="0"/>
      <w:marBottom w:val="0"/>
      <w:divBdr>
        <w:top w:val="none" w:sz="0" w:space="0" w:color="auto"/>
        <w:left w:val="none" w:sz="0" w:space="0" w:color="auto"/>
        <w:bottom w:val="none" w:sz="0" w:space="0" w:color="auto"/>
        <w:right w:val="none" w:sz="0" w:space="0" w:color="auto"/>
      </w:divBdr>
    </w:div>
    <w:div w:id="467747711">
      <w:bodyDiv w:val="1"/>
      <w:marLeft w:val="0"/>
      <w:marRight w:val="0"/>
      <w:marTop w:val="0"/>
      <w:marBottom w:val="0"/>
      <w:divBdr>
        <w:top w:val="none" w:sz="0" w:space="0" w:color="auto"/>
        <w:left w:val="none" w:sz="0" w:space="0" w:color="auto"/>
        <w:bottom w:val="none" w:sz="0" w:space="0" w:color="auto"/>
        <w:right w:val="none" w:sz="0" w:space="0" w:color="auto"/>
      </w:divBdr>
      <w:divsChild>
        <w:div w:id="1557203639">
          <w:marLeft w:val="446"/>
          <w:marRight w:val="0"/>
          <w:marTop w:val="0"/>
          <w:marBottom w:val="0"/>
          <w:divBdr>
            <w:top w:val="none" w:sz="0" w:space="0" w:color="auto"/>
            <w:left w:val="none" w:sz="0" w:space="0" w:color="auto"/>
            <w:bottom w:val="none" w:sz="0" w:space="0" w:color="auto"/>
            <w:right w:val="none" w:sz="0" w:space="0" w:color="auto"/>
          </w:divBdr>
        </w:div>
      </w:divsChild>
    </w:div>
    <w:div w:id="504630013">
      <w:bodyDiv w:val="1"/>
      <w:marLeft w:val="0"/>
      <w:marRight w:val="0"/>
      <w:marTop w:val="0"/>
      <w:marBottom w:val="0"/>
      <w:divBdr>
        <w:top w:val="none" w:sz="0" w:space="0" w:color="auto"/>
        <w:left w:val="none" w:sz="0" w:space="0" w:color="auto"/>
        <w:bottom w:val="none" w:sz="0" w:space="0" w:color="auto"/>
        <w:right w:val="none" w:sz="0" w:space="0" w:color="auto"/>
      </w:divBdr>
    </w:div>
    <w:div w:id="576089908">
      <w:bodyDiv w:val="1"/>
      <w:marLeft w:val="0"/>
      <w:marRight w:val="0"/>
      <w:marTop w:val="0"/>
      <w:marBottom w:val="0"/>
      <w:divBdr>
        <w:top w:val="none" w:sz="0" w:space="0" w:color="auto"/>
        <w:left w:val="none" w:sz="0" w:space="0" w:color="auto"/>
        <w:bottom w:val="none" w:sz="0" w:space="0" w:color="auto"/>
        <w:right w:val="none" w:sz="0" w:space="0" w:color="auto"/>
      </w:divBdr>
    </w:div>
    <w:div w:id="611015686">
      <w:bodyDiv w:val="1"/>
      <w:marLeft w:val="0"/>
      <w:marRight w:val="0"/>
      <w:marTop w:val="0"/>
      <w:marBottom w:val="0"/>
      <w:divBdr>
        <w:top w:val="none" w:sz="0" w:space="0" w:color="auto"/>
        <w:left w:val="none" w:sz="0" w:space="0" w:color="auto"/>
        <w:bottom w:val="none" w:sz="0" w:space="0" w:color="auto"/>
        <w:right w:val="none" w:sz="0" w:space="0" w:color="auto"/>
      </w:divBdr>
    </w:div>
    <w:div w:id="732702987">
      <w:bodyDiv w:val="1"/>
      <w:marLeft w:val="0"/>
      <w:marRight w:val="0"/>
      <w:marTop w:val="0"/>
      <w:marBottom w:val="0"/>
      <w:divBdr>
        <w:top w:val="none" w:sz="0" w:space="0" w:color="auto"/>
        <w:left w:val="none" w:sz="0" w:space="0" w:color="auto"/>
        <w:bottom w:val="none" w:sz="0" w:space="0" w:color="auto"/>
        <w:right w:val="none" w:sz="0" w:space="0" w:color="auto"/>
      </w:divBdr>
    </w:div>
    <w:div w:id="800072897">
      <w:bodyDiv w:val="1"/>
      <w:marLeft w:val="0"/>
      <w:marRight w:val="0"/>
      <w:marTop w:val="0"/>
      <w:marBottom w:val="0"/>
      <w:divBdr>
        <w:top w:val="none" w:sz="0" w:space="0" w:color="auto"/>
        <w:left w:val="none" w:sz="0" w:space="0" w:color="auto"/>
        <w:bottom w:val="none" w:sz="0" w:space="0" w:color="auto"/>
        <w:right w:val="none" w:sz="0" w:space="0" w:color="auto"/>
      </w:divBdr>
    </w:div>
    <w:div w:id="827329571">
      <w:bodyDiv w:val="1"/>
      <w:marLeft w:val="0"/>
      <w:marRight w:val="0"/>
      <w:marTop w:val="0"/>
      <w:marBottom w:val="0"/>
      <w:divBdr>
        <w:top w:val="none" w:sz="0" w:space="0" w:color="auto"/>
        <w:left w:val="none" w:sz="0" w:space="0" w:color="auto"/>
        <w:bottom w:val="none" w:sz="0" w:space="0" w:color="auto"/>
        <w:right w:val="none" w:sz="0" w:space="0" w:color="auto"/>
      </w:divBdr>
    </w:div>
    <w:div w:id="850602790">
      <w:bodyDiv w:val="1"/>
      <w:marLeft w:val="0"/>
      <w:marRight w:val="0"/>
      <w:marTop w:val="0"/>
      <w:marBottom w:val="0"/>
      <w:divBdr>
        <w:top w:val="none" w:sz="0" w:space="0" w:color="auto"/>
        <w:left w:val="none" w:sz="0" w:space="0" w:color="auto"/>
        <w:bottom w:val="none" w:sz="0" w:space="0" w:color="auto"/>
        <w:right w:val="none" w:sz="0" w:space="0" w:color="auto"/>
      </w:divBdr>
    </w:div>
    <w:div w:id="955405300">
      <w:bodyDiv w:val="1"/>
      <w:marLeft w:val="0"/>
      <w:marRight w:val="0"/>
      <w:marTop w:val="0"/>
      <w:marBottom w:val="0"/>
      <w:divBdr>
        <w:top w:val="none" w:sz="0" w:space="0" w:color="auto"/>
        <w:left w:val="none" w:sz="0" w:space="0" w:color="auto"/>
        <w:bottom w:val="none" w:sz="0" w:space="0" w:color="auto"/>
        <w:right w:val="none" w:sz="0" w:space="0" w:color="auto"/>
      </w:divBdr>
    </w:div>
    <w:div w:id="977612847">
      <w:bodyDiv w:val="1"/>
      <w:marLeft w:val="0"/>
      <w:marRight w:val="0"/>
      <w:marTop w:val="0"/>
      <w:marBottom w:val="0"/>
      <w:divBdr>
        <w:top w:val="none" w:sz="0" w:space="0" w:color="auto"/>
        <w:left w:val="none" w:sz="0" w:space="0" w:color="auto"/>
        <w:bottom w:val="none" w:sz="0" w:space="0" w:color="auto"/>
        <w:right w:val="none" w:sz="0" w:space="0" w:color="auto"/>
      </w:divBdr>
    </w:div>
    <w:div w:id="1030717189">
      <w:bodyDiv w:val="1"/>
      <w:marLeft w:val="0"/>
      <w:marRight w:val="0"/>
      <w:marTop w:val="0"/>
      <w:marBottom w:val="0"/>
      <w:divBdr>
        <w:top w:val="none" w:sz="0" w:space="0" w:color="auto"/>
        <w:left w:val="none" w:sz="0" w:space="0" w:color="auto"/>
        <w:bottom w:val="none" w:sz="0" w:space="0" w:color="auto"/>
        <w:right w:val="none" w:sz="0" w:space="0" w:color="auto"/>
      </w:divBdr>
    </w:div>
    <w:div w:id="1146046501">
      <w:bodyDiv w:val="1"/>
      <w:marLeft w:val="0"/>
      <w:marRight w:val="0"/>
      <w:marTop w:val="0"/>
      <w:marBottom w:val="0"/>
      <w:divBdr>
        <w:top w:val="none" w:sz="0" w:space="0" w:color="auto"/>
        <w:left w:val="none" w:sz="0" w:space="0" w:color="auto"/>
        <w:bottom w:val="none" w:sz="0" w:space="0" w:color="auto"/>
        <w:right w:val="none" w:sz="0" w:space="0" w:color="auto"/>
      </w:divBdr>
    </w:div>
    <w:div w:id="1179196037">
      <w:bodyDiv w:val="1"/>
      <w:marLeft w:val="0"/>
      <w:marRight w:val="0"/>
      <w:marTop w:val="0"/>
      <w:marBottom w:val="0"/>
      <w:divBdr>
        <w:top w:val="none" w:sz="0" w:space="0" w:color="auto"/>
        <w:left w:val="none" w:sz="0" w:space="0" w:color="auto"/>
        <w:bottom w:val="none" w:sz="0" w:space="0" w:color="auto"/>
        <w:right w:val="none" w:sz="0" w:space="0" w:color="auto"/>
      </w:divBdr>
    </w:div>
    <w:div w:id="1211650581">
      <w:bodyDiv w:val="1"/>
      <w:marLeft w:val="0"/>
      <w:marRight w:val="0"/>
      <w:marTop w:val="0"/>
      <w:marBottom w:val="0"/>
      <w:divBdr>
        <w:top w:val="none" w:sz="0" w:space="0" w:color="auto"/>
        <w:left w:val="none" w:sz="0" w:space="0" w:color="auto"/>
        <w:bottom w:val="none" w:sz="0" w:space="0" w:color="auto"/>
        <w:right w:val="none" w:sz="0" w:space="0" w:color="auto"/>
      </w:divBdr>
    </w:div>
    <w:div w:id="1281453810">
      <w:bodyDiv w:val="1"/>
      <w:marLeft w:val="0"/>
      <w:marRight w:val="0"/>
      <w:marTop w:val="0"/>
      <w:marBottom w:val="0"/>
      <w:divBdr>
        <w:top w:val="none" w:sz="0" w:space="0" w:color="auto"/>
        <w:left w:val="none" w:sz="0" w:space="0" w:color="auto"/>
        <w:bottom w:val="none" w:sz="0" w:space="0" w:color="auto"/>
        <w:right w:val="none" w:sz="0" w:space="0" w:color="auto"/>
      </w:divBdr>
    </w:div>
    <w:div w:id="1287811368">
      <w:bodyDiv w:val="1"/>
      <w:marLeft w:val="0"/>
      <w:marRight w:val="0"/>
      <w:marTop w:val="0"/>
      <w:marBottom w:val="0"/>
      <w:divBdr>
        <w:top w:val="none" w:sz="0" w:space="0" w:color="auto"/>
        <w:left w:val="none" w:sz="0" w:space="0" w:color="auto"/>
        <w:bottom w:val="none" w:sz="0" w:space="0" w:color="auto"/>
        <w:right w:val="none" w:sz="0" w:space="0" w:color="auto"/>
      </w:divBdr>
    </w:div>
    <w:div w:id="1303273930">
      <w:bodyDiv w:val="1"/>
      <w:marLeft w:val="0"/>
      <w:marRight w:val="0"/>
      <w:marTop w:val="0"/>
      <w:marBottom w:val="0"/>
      <w:divBdr>
        <w:top w:val="none" w:sz="0" w:space="0" w:color="auto"/>
        <w:left w:val="none" w:sz="0" w:space="0" w:color="auto"/>
        <w:bottom w:val="none" w:sz="0" w:space="0" w:color="auto"/>
        <w:right w:val="none" w:sz="0" w:space="0" w:color="auto"/>
      </w:divBdr>
    </w:div>
    <w:div w:id="1337228104">
      <w:bodyDiv w:val="1"/>
      <w:marLeft w:val="0"/>
      <w:marRight w:val="0"/>
      <w:marTop w:val="0"/>
      <w:marBottom w:val="0"/>
      <w:divBdr>
        <w:top w:val="none" w:sz="0" w:space="0" w:color="auto"/>
        <w:left w:val="none" w:sz="0" w:space="0" w:color="auto"/>
        <w:bottom w:val="none" w:sz="0" w:space="0" w:color="auto"/>
        <w:right w:val="none" w:sz="0" w:space="0" w:color="auto"/>
      </w:divBdr>
    </w:div>
    <w:div w:id="1457330791">
      <w:bodyDiv w:val="1"/>
      <w:marLeft w:val="0"/>
      <w:marRight w:val="0"/>
      <w:marTop w:val="0"/>
      <w:marBottom w:val="0"/>
      <w:divBdr>
        <w:top w:val="none" w:sz="0" w:space="0" w:color="auto"/>
        <w:left w:val="none" w:sz="0" w:space="0" w:color="auto"/>
        <w:bottom w:val="none" w:sz="0" w:space="0" w:color="auto"/>
        <w:right w:val="none" w:sz="0" w:space="0" w:color="auto"/>
      </w:divBdr>
    </w:div>
    <w:div w:id="1572808089">
      <w:bodyDiv w:val="1"/>
      <w:marLeft w:val="0"/>
      <w:marRight w:val="0"/>
      <w:marTop w:val="0"/>
      <w:marBottom w:val="0"/>
      <w:divBdr>
        <w:top w:val="none" w:sz="0" w:space="0" w:color="auto"/>
        <w:left w:val="none" w:sz="0" w:space="0" w:color="auto"/>
        <w:bottom w:val="none" w:sz="0" w:space="0" w:color="auto"/>
        <w:right w:val="none" w:sz="0" w:space="0" w:color="auto"/>
      </w:divBdr>
      <w:divsChild>
        <w:div w:id="991982207">
          <w:marLeft w:val="547"/>
          <w:marRight w:val="0"/>
          <w:marTop w:val="0"/>
          <w:marBottom w:val="0"/>
          <w:divBdr>
            <w:top w:val="none" w:sz="0" w:space="0" w:color="auto"/>
            <w:left w:val="none" w:sz="0" w:space="0" w:color="auto"/>
            <w:bottom w:val="none" w:sz="0" w:space="0" w:color="auto"/>
            <w:right w:val="none" w:sz="0" w:space="0" w:color="auto"/>
          </w:divBdr>
        </w:div>
        <w:div w:id="1692025041">
          <w:marLeft w:val="547"/>
          <w:marRight w:val="0"/>
          <w:marTop w:val="0"/>
          <w:marBottom w:val="0"/>
          <w:divBdr>
            <w:top w:val="none" w:sz="0" w:space="0" w:color="auto"/>
            <w:left w:val="none" w:sz="0" w:space="0" w:color="auto"/>
            <w:bottom w:val="none" w:sz="0" w:space="0" w:color="auto"/>
            <w:right w:val="none" w:sz="0" w:space="0" w:color="auto"/>
          </w:divBdr>
        </w:div>
        <w:div w:id="1579167647">
          <w:marLeft w:val="547"/>
          <w:marRight w:val="0"/>
          <w:marTop w:val="0"/>
          <w:marBottom w:val="0"/>
          <w:divBdr>
            <w:top w:val="none" w:sz="0" w:space="0" w:color="auto"/>
            <w:left w:val="none" w:sz="0" w:space="0" w:color="auto"/>
            <w:bottom w:val="none" w:sz="0" w:space="0" w:color="auto"/>
            <w:right w:val="none" w:sz="0" w:space="0" w:color="auto"/>
          </w:divBdr>
        </w:div>
        <w:div w:id="1627586972">
          <w:marLeft w:val="547"/>
          <w:marRight w:val="0"/>
          <w:marTop w:val="0"/>
          <w:marBottom w:val="0"/>
          <w:divBdr>
            <w:top w:val="none" w:sz="0" w:space="0" w:color="auto"/>
            <w:left w:val="none" w:sz="0" w:space="0" w:color="auto"/>
            <w:bottom w:val="none" w:sz="0" w:space="0" w:color="auto"/>
            <w:right w:val="none" w:sz="0" w:space="0" w:color="auto"/>
          </w:divBdr>
        </w:div>
        <w:div w:id="993949129">
          <w:marLeft w:val="547"/>
          <w:marRight w:val="0"/>
          <w:marTop w:val="0"/>
          <w:marBottom w:val="0"/>
          <w:divBdr>
            <w:top w:val="none" w:sz="0" w:space="0" w:color="auto"/>
            <w:left w:val="none" w:sz="0" w:space="0" w:color="auto"/>
            <w:bottom w:val="none" w:sz="0" w:space="0" w:color="auto"/>
            <w:right w:val="none" w:sz="0" w:space="0" w:color="auto"/>
          </w:divBdr>
        </w:div>
      </w:divsChild>
    </w:div>
    <w:div w:id="1630165116">
      <w:bodyDiv w:val="1"/>
      <w:marLeft w:val="0"/>
      <w:marRight w:val="0"/>
      <w:marTop w:val="0"/>
      <w:marBottom w:val="0"/>
      <w:divBdr>
        <w:top w:val="none" w:sz="0" w:space="0" w:color="auto"/>
        <w:left w:val="none" w:sz="0" w:space="0" w:color="auto"/>
        <w:bottom w:val="none" w:sz="0" w:space="0" w:color="auto"/>
        <w:right w:val="none" w:sz="0" w:space="0" w:color="auto"/>
      </w:divBdr>
    </w:div>
    <w:div w:id="1645501390">
      <w:bodyDiv w:val="1"/>
      <w:marLeft w:val="0"/>
      <w:marRight w:val="0"/>
      <w:marTop w:val="0"/>
      <w:marBottom w:val="0"/>
      <w:divBdr>
        <w:top w:val="none" w:sz="0" w:space="0" w:color="auto"/>
        <w:left w:val="none" w:sz="0" w:space="0" w:color="auto"/>
        <w:bottom w:val="none" w:sz="0" w:space="0" w:color="auto"/>
        <w:right w:val="none" w:sz="0" w:space="0" w:color="auto"/>
      </w:divBdr>
    </w:div>
    <w:div w:id="1709865987">
      <w:bodyDiv w:val="1"/>
      <w:marLeft w:val="0"/>
      <w:marRight w:val="0"/>
      <w:marTop w:val="0"/>
      <w:marBottom w:val="0"/>
      <w:divBdr>
        <w:top w:val="none" w:sz="0" w:space="0" w:color="auto"/>
        <w:left w:val="none" w:sz="0" w:space="0" w:color="auto"/>
        <w:bottom w:val="none" w:sz="0" w:space="0" w:color="auto"/>
        <w:right w:val="none" w:sz="0" w:space="0" w:color="auto"/>
      </w:divBdr>
    </w:div>
    <w:div w:id="1724324428">
      <w:bodyDiv w:val="1"/>
      <w:marLeft w:val="0"/>
      <w:marRight w:val="0"/>
      <w:marTop w:val="0"/>
      <w:marBottom w:val="0"/>
      <w:divBdr>
        <w:top w:val="none" w:sz="0" w:space="0" w:color="auto"/>
        <w:left w:val="none" w:sz="0" w:space="0" w:color="auto"/>
        <w:bottom w:val="none" w:sz="0" w:space="0" w:color="auto"/>
        <w:right w:val="none" w:sz="0" w:space="0" w:color="auto"/>
      </w:divBdr>
    </w:div>
    <w:div w:id="1782066603">
      <w:bodyDiv w:val="1"/>
      <w:marLeft w:val="0"/>
      <w:marRight w:val="0"/>
      <w:marTop w:val="0"/>
      <w:marBottom w:val="0"/>
      <w:divBdr>
        <w:top w:val="none" w:sz="0" w:space="0" w:color="auto"/>
        <w:left w:val="none" w:sz="0" w:space="0" w:color="auto"/>
        <w:bottom w:val="none" w:sz="0" w:space="0" w:color="auto"/>
        <w:right w:val="none" w:sz="0" w:space="0" w:color="auto"/>
      </w:divBdr>
    </w:div>
    <w:div w:id="1879930878">
      <w:bodyDiv w:val="1"/>
      <w:marLeft w:val="0"/>
      <w:marRight w:val="0"/>
      <w:marTop w:val="0"/>
      <w:marBottom w:val="0"/>
      <w:divBdr>
        <w:top w:val="none" w:sz="0" w:space="0" w:color="auto"/>
        <w:left w:val="none" w:sz="0" w:space="0" w:color="auto"/>
        <w:bottom w:val="none" w:sz="0" w:space="0" w:color="auto"/>
        <w:right w:val="none" w:sz="0" w:space="0" w:color="auto"/>
      </w:divBdr>
    </w:div>
    <w:div w:id="1893535342">
      <w:bodyDiv w:val="1"/>
      <w:marLeft w:val="0"/>
      <w:marRight w:val="0"/>
      <w:marTop w:val="0"/>
      <w:marBottom w:val="0"/>
      <w:divBdr>
        <w:top w:val="none" w:sz="0" w:space="0" w:color="auto"/>
        <w:left w:val="none" w:sz="0" w:space="0" w:color="auto"/>
        <w:bottom w:val="none" w:sz="0" w:space="0" w:color="auto"/>
        <w:right w:val="none" w:sz="0" w:space="0" w:color="auto"/>
      </w:divBdr>
    </w:div>
    <w:div w:id="1963684110">
      <w:bodyDiv w:val="1"/>
      <w:marLeft w:val="0"/>
      <w:marRight w:val="0"/>
      <w:marTop w:val="0"/>
      <w:marBottom w:val="0"/>
      <w:divBdr>
        <w:top w:val="none" w:sz="0" w:space="0" w:color="auto"/>
        <w:left w:val="none" w:sz="0" w:space="0" w:color="auto"/>
        <w:bottom w:val="none" w:sz="0" w:space="0" w:color="auto"/>
        <w:right w:val="none" w:sz="0" w:space="0" w:color="auto"/>
      </w:divBdr>
    </w:div>
    <w:div w:id="2033724750">
      <w:bodyDiv w:val="1"/>
      <w:marLeft w:val="0"/>
      <w:marRight w:val="0"/>
      <w:marTop w:val="0"/>
      <w:marBottom w:val="0"/>
      <w:divBdr>
        <w:top w:val="none" w:sz="0" w:space="0" w:color="auto"/>
        <w:left w:val="none" w:sz="0" w:space="0" w:color="auto"/>
        <w:bottom w:val="none" w:sz="0" w:space="0" w:color="auto"/>
        <w:right w:val="none" w:sz="0" w:space="0" w:color="auto"/>
      </w:divBdr>
    </w:div>
    <w:div w:id="2034840587">
      <w:bodyDiv w:val="1"/>
      <w:marLeft w:val="0"/>
      <w:marRight w:val="0"/>
      <w:marTop w:val="0"/>
      <w:marBottom w:val="0"/>
      <w:divBdr>
        <w:top w:val="none" w:sz="0" w:space="0" w:color="auto"/>
        <w:left w:val="none" w:sz="0" w:space="0" w:color="auto"/>
        <w:bottom w:val="none" w:sz="0" w:space="0" w:color="auto"/>
        <w:right w:val="none" w:sz="0" w:space="0" w:color="auto"/>
      </w:divBdr>
    </w:div>
    <w:div w:id="2055304959">
      <w:bodyDiv w:val="1"/>
      <w:marLeft w:val="0"/>
      <w:marRight w:val="0"/>
      <w:marTop w:val="0"/>
      <w:marBottom w:val="0"/>
      <w:divBdr>
        <w:top w:val="none" w:sz="0" w:space="0" w:color="auto"/>
        <w:left w:val="none" w:sz="0" w:space="0" w:color="auto"/>
        <w:bottom w:val="none" w:sz="0" w:space="0" w:color="auto"/>
        <w:right w:val="none" w:sz="0" w:space="0" w:color="auto"/>
      </w:divBdr>
    </w:div>
    <w:div w:id="2058889237">
      <w:bodyDiv w:val="1"/>
      <w:marLeft w:val="0"/>
      <w:marRight w:val="0"/>
      <w:marTop w:val="0"/>
      <w:marBottom w:val="0"/>
      <w:divBdr>
        <w:top w:val="none" w:sz="0" w:space="0" w:color="auto"/>
        <w:left w:val="none" w:sz="0" w:space="0" w:color="auto"/>
        <w:bottom w:val="none" w:sz="0" w:space="0" w:color="auto"/>
        <w:right w:val="none" w:sz="0" w:space="0" w:color="auto"/>
      </w:divBdr>
    </w:div>
    <w:div w:id="2077437859">
      <w:bodyDiv w:val="1"/>
      <w:marLeft w:val="0"/>
      <w:marRight w:val="0"/>
      <w:marTop w:val="0"/>
      <w:marBottom w:val="0"/>
      <w:divBdr>
        <w:top w:val="none" w:sz="0" w:space="0" w:color="auto"/>
        <w:left w:val="none" w:sz="0" w:space="0" w:color="auto"/>
        <w:bottom w:val="none" w:sz="0" w:space="0" w:color="auto"/>
        <w:right w:val="none" w:sz="0" w:space="0" w:color="auto"/>
      </w:divBdr>
    </w:div>
    <w:div w:id="2106723800">
      <w:bodyDiv w:val="1"/>
      <w:marLeft w:val="0"/>
      <w:marRight w:val="0"/>
      <w:marTop w:val="0"/>
      <w:marBottom w:val="0"/>
      <w:divBdr>
        <w:top w:val="none" w:sz="0" w:space="0" w:color="auto"/>
        <w:left w:val="none" w:sz="0" w:space="0" w:color="auto"/>
        <w:bottom w:val="none" w:sz="0" w:space="0" w:color="auto"/>
        <w:right w:val="none" w:sz="0" w:space="0" w:color="auto"/>
      </w:divBdr>
    </w:div>
    <w:div w:id="212534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B30C-0EB8-45C4-B822-A40720FD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2331</Words>
  <Characters>12825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Lorena Cendejas</dc:creator>
  <cp:lastModifiedBy>Alejandro Adame Ramirez</cp:lastModifiedBy>
  <cp:revision>4</cp:revision>
  <cp:lastPrinted>2015-11-12T18:27:00Z</cp:lastPrinted>
  <dcterms:created xsi:type="dcterms:W3CDTF">2015-11-13T19:48:00Z</dcterms:created>
  <dcterms:modified xsi:type="dcterms:W3CDTF">2015-11-17T07:16:00Z</dcterms:modified>
</cp:coreProperties>
</file>